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ascii="Times New Roman" w:hAnsi="Times New Roman" w:cs="Times New Roman"/>
        </w:rPr>
      </w:pPr>
      <w:r>
        <w:rPr>
          <w:rFonts w:cs="Times New Roman" w:ascii="Times New Roman" w:hAnsi="Times New Roman"/>
        </w:rPr>
        <w:t>Explanation of Assumptions and Model</w:t>
      </w:r>
    </w:p>
    <w:p>
      <w:pPr>
        <w:pStyle w:val="Heading4"/>
        <w:ind w:hanging="0" w:start="0"/>
        <w:rPr>
          <w:rFonts w:ascii="Times New Roman" w:hAnsi="Times New Roman" w:cs="Times New Roman"/>
        </w:rPr>
      </w:pPr>
      <w:r>
        <w:rPr>
          <w:rFonts w:cs="Times New Roman" w:ascii="Times New Roman" w:hAnsi="Times New Roman"/>
        </w:rPr>
        <w:t>This document provides detail to calculations found in Exhibits B through G</w:t>
      </w:r>
    </w:p>
    <w:p>
      <w:pPr>
        <w:pStyle w:val="Heading2"/>
        <w:ind w:hanging="0" w:start="0"/>
        <w:rPr>
          <w:rFonts w:ascii="Times New Roman" w:hAnsi="Times New Roman" w:cs="Times New Roman"/>
        </w:rPr>
      </w:pPr>
      <w:r>
        <w:rPr>
          <w:rFonts w:cs="Times New Roman" w:ascii="Times New Roman" w:hAnsi="Times New Roman"/>
        </w:rPr>
        <w:t>Discount Rate Justification ** Ted, Chris, please review</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discount rate used for the net present value calculation and to determine the coupon payment was determined using historical data of municipal bonds or general obligation bonds.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We estimated our discount rate using market data reported on Bloomberg for existing debt yields on April 1, 1997, the date when King County actually issued bonds to finance their stadium.  The 30 year bond was yielding 7.082% and the ten year was yielding 6.868%. Using the average of these two points, we are able to estimate that 6.97% is the interpolated yield for a 20-year bond. This rate is a taxable risk free rate.  Since King County is using non-taxable financing, we must determine the non-taxable risk free rate. Taking an average of the five different federal tax bracket rates, 15%, 28%, 31%, 36%, and 39.6%, we determined the average tax rate is 29.9%. State tax rate was not taken into account since Washington doesn’t have personal income tax. In order to convert the taxable risk free rate into a non-taxable risk free rate, we must multiply 6.97% by 70.01%. The resulting non-taxable risk free rate is 4.88%.</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 determine the risk premium rate, we observed the historical yields for the Bloomberg 20 year AA1 G.O. Municipal Bond Yield composite, the Bloomberg 20 year Washington State G.O. Bond Yield, as well as the Bloomberg 20 year New Jersey G.O. Bond Yield. All three of these yields are for bonds with the same Moody’s financial ratings as King County, AA1. Unfortunately on April 1, 1997, Bloomberg didn’t have any data for Washington State G.O. bonds. However using data points from 1998, the Washington G.O. bond composite had a yield three basis points less than the Bloomberg 20 year AA1 G.O. Municipal Bond Yield composite.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 composite G.O. bond using other municipalities yielded 5.73 percent in 1997.   A general-purpose bond in New Jersey yielded 5.58 during the same time frame.  In May, 1998, Washington G.O. bonds were trading at three basis points below the composite bond and 10 basis points above the New Jersey bond.  Assuming the Kings County bonds were trading at 3 basis points below the composite and ten basis points above the New Jersey bond in 1997 also, a discount rate of 5.70 percent was used to determine the cost of capital.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Comparing the tax-free, risk-free rate of 4.88 to 5.70 yields a risk premium of 90 basis points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 alternative method to calculating the cost of capital for Kings County is to use the CAPM model: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CAPM: R(E) = R(f) + B( R(m)-R(f))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expected return of the stock is equal to the risk free return plus beta times the delta between the Market Return (S&amp;P) and the risk free rate.  Beta of similar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Expect return of the project is equal to the risk free return plus beta times the delat between the Leisure Market Return and the risk free rate (ideally, Leisure would be only stadium building company) and the risk free rate.  Beta would be another comprable project.  A project that would have a comparable &amp; observable result to ours.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R(f) - .0488</w:t>
      </w:r>
    </w:p>
    <w:p>
      <w:pPr>
        <w:pStyle w:val="Normal"/>
        <w:rPr>
          <w:rFonts w:ascii="Times New Roman" w:hAnsi="Times New Roman" w:cs="Times New Roman"/>
        </w:rPr>
      </w:pPr>
      <w:r>
        <w:rPr>
          <w:rFonts w:cs="Times New Roman" w:ascii="Times New Roman" w:hAnsi="Times New Roman"/>
        </w:rPr>
        <w:t>R(m) –</w:t>
      </w:r>
    </w:p>
    <w:p>
      <w:pPr>
        <w:pStyle w:val="Normal"/>
        <w:rPr>
          <w:rFonts w:ascii="Times New Roman" w:hAnsi="Times New Roman" w:cs="Times New Roman"/>
        </w:rPr>
      </w:pPr>
      <w:r>
        <w:rPr>
          <w:rFonts w:cs="Times New Roman" w:ascii="Times New Roman" w:hAnsi="Times New Roman"/>
        </w:rPr>
        <w:t>***need to complete</w:t>
      </w:r>
    </w:p>
    <w:p>
      <w:pPr>
        <w:pStyle w:val="Normal"/>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t xml:space="preserve">Timing </w:t>
      </w:r>
    </w:p>
    <w:p>
      <w:pPr>
        <w:pStyle w:val="Heading3"/>
        <w:ind w:hanging="0" w:start="0"/>
        <w:rPr>
          <w:rFonts w:ascii="Times New Roman" w:hAnsi="Times New Roman" w:cs="Times New Roman"/>
        </w:rPr>
      </w:pPr>
      <w:r>
        <w:rPr>
          <w:rFonts w:cs="Times New Roman" w:ascii="Times New Roman" w:hAnsi="Times New Roman"/>
        </w:rPr>
        <w:t>Assume construction starts in 7/1/97 and ends in 12/1/99 when roof is complete</w:t>
      </w:r>
    </w:p>
    <w:p>
      <w:pPr>
        <w:pStyle w:val="Heading2"/>
        <w:ind w:hanging="0" w:start="0"/>
        <w:rPr>
          <w:rFonts w:ascii="Times New Roman" w:hAnsi="Times New Roman" w:cs="Times New Roman"/>
        </w:rPr>
      </w:pPr>
      <w:r>
        <w:rPr>
          <w:rFonts w:cs="Times New Roman" w:ascii="Times New Roman" w:hAnsi="Times New Roman"/>
        </w:rPr>
        <w:t>Elasticity</w:t>
      </w:r>
    </w:p>
    <w:p>
      <w:pPr>
        <w:pStyle w:val="Normal"/>
        <w:rPr>
          <w:rFonts w:ascii="Times New Roman" w:hAnsi="Times New Roman" w:cs="Times New Roman"/>
        </w:rPr>
      </w:pPr>
      <w:r>
        <w:rPr>
          <w:rFonts w:cs="Times New Roman" w:ascii="Times New Roman" w:hAnsi="Times New Roman"/>
        </w:rPr>
        <w:t>Elasticity was determined using price attendance data adjusted for an inflation rate of three percent.  Data from strike years, 1994 and 1995 were eliminated.  Data from 1996 were also eliminated due poor performance of the team and because it was a post strike year.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Elasticity of demand was calculated with the remaining data and a linear regression yields an elasticity of 0.797.  This means for a one percent increase in price, the quantity attending the game decreases by 0.797 percent.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Due to the sensitivity of attendance to ticket price, the county would be unsuccessful recovering the cost of bonds to build the stadium with a ticket tax. According to the net present value calculation in exhibit B, the amount of taxes to cover the short fall is in the 50-60 percent range.  For a 50 percent increase in price, attendance would decrease by 40 percent, which would in turn decrease sales by 40%.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county plans to cover bond payments with taxes from ticket sales, restaurants, car rentals and sales tax.  Under this scheme, approximately 14 percent of the tax cash flow is provided from ticket sales.  The attendance numbers quoted in Exhibit B of the problem statement include a 10 percent ticket tax.  It is assumed that elasticity ahs already been taken into account to determine the cash flow from ticket sales.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county should consider the sensitivity of the ticket cash flows to the amount of games won in the season.  It is clear from the historical attendance data given in Exhibit C of the problem statement that attendance numbers are negatively impacted if the Mariners are losing during the season.  Since the tax revenue from tickets is only 14%, even in the case that revenues from ticket sales disappear due to a losing season, the other tax revenue will cover the cost of the bond payments.  There is a cushion between the amount of cash that can be raised and the amount needed to cover the bond payments that is sufficient to cover the worst case scenario. </w:t>
      </w:r>
    </w:p>
    <w:p>
      <w:pPr>
        <w:pStyle w:val="Heading2"/>
        <w:ind w:hanging="0" w:start="0"/>
        <w:rPr>
          <w:rFonts w:ascii="Times New Roman" w:hAnsi="Times New Roman" w:cs="Times New Roman"/>
        </w:rPr>
      </w:pPr>
      <w:r>
        <w:rPr>
          <w:rFonts w:cs="Times New Roman" w:ascii="Times New Roman" w:hAnsi="Times New Roman"/>
        </w:rPr>
        <w:t xml:space="preserve">Cost-basis </w:t>
      </w:r>
    </w:p>
    <w:p>
      <w:pPr>
        <w:pStyle w:val="Normal"/>
        <w:rPr>
          <w:rFonts w:ascii="Times New Roman" w:hAnsi="Times New Roman" w:cs="Times New Roman"/>
        </w:rPr>
      </w:pPr>
      <w:r>
        <w:rPr>
          <w:rFonts w:cs="Times New Roman" w:ascii="Times New Roman" w:hAnsi="Times New Roman"/>
        </w:rPr>
        <w:t>All numbers are in 1997 dollars</w:t>
      </w:r>
    </w:p>
    <w:p>
      <w:pPr>
        <w:pStyle w:val="Heading2"/>
        <w:ind w:hanging="0" w:start="0"/>
        <w:rPr>
          <w:rFonts w:ascii="Times New Roman" w:hAnsi="Times New Roman" w:cs="Times New Roman"/>
        </w:rPr>
      </w:pPr>
      <w:r>
        <w:rPr>
          <w:rFonts w:cs="Times New Roman" w:ascii="Times New Roman" w:hAnsi="Times New Roman"/>
        </w:rPr>
        <w:t>Comparison of importance of elasticity compared to importance of discount rate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sensitivity analysis of the present value of future ticket sales to the discount rate is shown in Exhibit E (check to be sure this is true).  The sensitivity of sales to elasticity was also analyzed in Exhibit B.  These analyses showed the sensitivity of discount rate and elasticity to be similar.  The rate variation keeping elasticity constant at (0.797?) yields a range in sales of XX%.  Elasticity variation keeping the rate constant at (XX?) yields a range in sales of XX%.  Since the sensitivities are similar, it would be prudent for Kings County to focus on the interest rate for the following reasons.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more accurate estimate of the discount is attainable because there is more information on discount rates available compared to coefficients of elasticity</w:t>
      </w:r>
    </w:p>
    <w:p>
      <w:pPr>
        <w:pStyle w:val="Normal"/>
        <w:numPr>
          <w:ilvl w:val="0"/>
          <w:numId w:val="2"/>
        </w:numPr>
        <w:rPr>
          <w:rFonts w:ascii="Times New Roman" w:hAnsi="Times New Roman" w:cs="Times New Roman"/>
        </w:rPr>
      </w:pPr>
      <w:r>
        <w:rPr>
          <w:rFonts w:cs="Times New Roman" w:ascii="Times New Roman" w:hAnsi="Times New Roman"/>
        </w:rPr>
        <w:t xml:space="preserve">The elasticity number is confounded by more factors than price, for example, it is effected by strikes and team performance </w:t>
      </w:r>
    </w:p>
    <w:p>
      <w:pPr>
        <w:pStyle w:val="Normal"/>
        <w:numPr>
          <w:ilvl w:val="0"/>
          <w:numId w:val="2"/>
        </w:numPr>
        <w:rPr>
          <w:rFonts w:ascii="Times New Roman" w:hAnsi="Times New Roman" w:cs="Times New Roman"/>
        </w:rPr>
      </w:pPr>
      <w:r>
        <w:rPr>
          <w:rFonts w:cs="Times New Roman" w:ascii="Times New Roman" w:hAnsi="Times New Roman"/>
        </w:rPr>
        <w:t>Ticket-related taxes are approximately 14 percent of tax revenues to cover payments therefore are not as critical a component in determining required cash flows compared to the discount rate</w:t>
      </w:r>
    </w:p>
    <w:p>
      <w:pPr>
        <w:pStyle w:val="Heading2"/>
        <w:ind w:hanging="0" w:start="0"/>
        <w:rPr>
          <w:rFonts w:ascii="Times New Roman" w:hAnsi="Times New Roman" w:cs="Times New Roman"/>
        </w:rPr>
      </w:pPr>
      <w:r>
        <w:rPr>
          <w:rFonts w:cs="Times New Roman" w:ascii="Times New Roman" w:hAnsi="Times New Roman"/>
        </w:rPr>
        <w:t>Risk premium - is this justifiable?</w:t>
      </w:r>
    </w:p>
    <w:p>
      <w:pPr>
        <w:pStyle w:val="Normal"/>
        <w:rPr>
          <w:rFonts w:ascii="Times New Roman" w:hAnsi="Times New Roman" w:cs="Times New Roman"/>
        </w:rPr>
      </w:pPr>
      <w:r>
        <w:rPr>
          <w:rFonts w:cs="Times New Roman" w:ascii="Times New Roman" w:hAnsi="Times New Roman"/>
        </w:rPr>
        <w:t xml:space="preserve">Yes, because when you issue a bond, there is a risk that the issuee will not pay it back. The premium accounts for this risk.  The magnitude of the premium that Smith Barney charged is different than the premium calculated for this problem (90 basis points).  Since the research behind the 50 basis points is unknown, it is difficult to assess the reason for the difference. </w:t>
      </w:r>
    </w:p>
    <w:p>
      <w:pPr>
        <w:pStyle w:val="Heading2"/>
        <w:spacing w:before="240" w:after="60"/>
        <w:ind w:hanging="0" w:start="0"/>
        <w:rPr>
          <w:rFonts w:ascii="Times New Roman" w:hAnsi="Times New Roman" w:cs="Times New Roman"/>
        </w:rPr>
      </w:pPr>
      <w:r>
        <w:rPr>
          <w:rFonts w:cs="Times New Roman" w:ascii="Times New Roman" w:hAnsi="Times New Roman"/>
        </w:rPr>
        <w:t>Cash Flow Analysis - Jackie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outlineLvl w:val="3"/>
    </w:pPr>
    <w:rPr>
      <w:i/>
    </w:rPr>
  </w:style>
  <w:style w:type="character" w:styleId="WW8Num2z0">
    <w:name w:val="WW8Num2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2000-12-03T18:33:00Z</dcterms:created>
  <dc:creator>Kimberly Kupiecki</dc:creator>
  <dc:description/>
  <dc:language>en-CA</dc:language>
  <cp:lastModifiedBy>Kimberly Kupiecki</cp:lastModifiedBy>
  <dcterms:modified xsi:type="dcterms:W3CDTF">2000-12-04T05:21:00Z</dcterms:modified>
  <cp:revision>44</cp:revision>
  <dc:subject/>
  <dc:title>Explanation of Assumptions</dc:title>
</cp:coreProperties>
</file>