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jc w:val="center"/>
        <w:rPr>
          <w:b/>
          <w:bCs/>
        </w:rPr>
      </w:pPr>
      <w:r>
        <w:rPr>
          <w:b/>
          <w:bCs/>
        </w:rPr>
      </w:r>
    </w:p>
    <w:p>
      <w:pPr>
        <w:pStyle w:val="Heading1"/>
        <w:ind w:hanging="0" w:start="0"/>
        <w:rPr/>
      </w:pPr>
      <w:r>
        <w:rPr/>
        <w:t>MDEA - EPMI</w:t>
      </w:r>
    </w:p>
    <w:p>
      <w:pPr>
        <w:pStyle w:val="Heading1"/>
        <w:ind w:hanging="0" w:start="0"/>
        <w:rPr/>
      </w:pPr>
      <w:r>
        <w:rPr/>
        <w:t>Marketing Strategy</w:t>
      </w:r>
    </w:p>
    <w:p>
      <w:pPr>
        <w:pStyle w:val="Normal"/>
        <w:rPr/>
      </w:pPr>
      <w:r>
        <w:rPr/>
      </w:r>
    </w:p>
    <w:p>
      <w:pPr>
        <w:pStyle w:val="Normal"/>
        <w:rPr/>
      </w:pPr>
      <w:r>
        <w:rPr/>
      </w:r>
    </w:p>
    <w:p>
      <w:pPr>
        <w:pStyle w:val="Heading2"/>
        <w:ind w:hanging="0" w:start="0"/>
        <w:rPr/>
      </w:pPr>
      <w:r>
        <w:rPr/>
        <w:t>INTRODUCTION</w:t>
      </w:r>
    </w:p>
    <w:p>
      <w:pPr>
        <w:pStyle w:val="Normal"/>
        <w:rPr>
          <w:b/>
          <w:bCs/>
        </w:rPr>
      </w:pPr>
      <w:r>
        <w:rPr>
          <w:b/>
          <w:bCs/>
        </w:rPr>
      </w:r>
    </w:p>
    <w:p>
      <w:pPr>
        <w:pStyle w:val="Normal"/>
        <w:rPr/>
      </w:pPr>
      <w:r>
        <w:rPr/>
        <w:t>The marketing strategy includes transacting in the hourly, daily, short term, and long term markets to economically optimize both serving MDEA Native Load and dispatching generation assets.  Strategic decisions relating to buying and selling of Products will be made after taking into consideration MDEA’s load forecast, market conditions and MDEA’s Total Production Cost to generate power from owned generation assets.  Strategy decisions will be the result of collaboration between MDDEA, the Cities and EPMI.</w:t>
      </w:r>
    </w:p>
    <w:p>
      <w:pPr>
        <w:pStyle w:val="Normal"/>
        <w:rPr>
          <w:b/>
          <w:bCs/>
        </w:rPr>
      </w:pPr>
      <w:r>
        <w:rPr>
          <w:b/>
          <w:bCs/>
        </w:rPr>
      </w:r>
    </w:p>
    <w:p>
      <w:pPr>
        <w:pStyle w:val="BodyText"/>
        <w:rPr/>
      </w:pPr>
      <w:r>
        <w:rPr/>
        <w:t>MDEA and EPMI will jointly work to (1) market the output from the MDEA Facilities and (2) to serve the MDEA Native Load from the market, in order to optimize the value of the MDEA’s assets.  The framework for achieving these objectives including the types of transactions and activities to be conducted by EPMI and MDEA is provided in the Marketing Strategy.  The controls including the authority, and approvals, associated with each type of transaction or activity are defined in the Trading and Risk Policy.    The Trading and Risk Management Policy will prevail regarding any transaction or marketing strategy.  The Marketing Committee can change this strategy as needed to reflect the business environment and risk tolerance of the parties.  Such changes shall be in writing and attached to the Agreement as a Revised Exhibit A.</w:t>
      </w:r>
    </w:p>
    <w:p>
      <w:pPr>
        <w:pStyle w:val="Normal"/>
        <w:jc w:val="both"/>
        <w:rPr/>
      </w:pPr>
      <w:r>
        <w:rPr/>
      </w:r>
    </w:p>
    <w:p>
      <w:pPr>
        <w:pStyle w:val="Heading3"/>
        <w:ind w:hanging="0" w:start="0"/>
        <w:rPr/>
      </w:pPr>
      <w:r>
        <w:rPr/>
        <w:t>STRATEGY</w:t>
      </w:r>
    </w:p>
    <w:p>
      <w:pPr>
        <w:pStyle w:val="Normal"/>
        <w:rPr/>
      </w:pPr>
      <w:r>
        <w:rPr/>
      </w:r>
    </w:p>
    <w:p>
      <w:pPr>
        <w:pStyle w:val="Normal"/>
        <w:jc w:val="both"/>
        <w:rPr>
          <w:b/>
          <w:bCs/>
        </w:rPr>
      </w:pPr>
      <w:r>
        <w:rPr>
          <w:b/>
          <w:bCs/>
        </w:rPr>
        <w:t>Daily Planning Activity</w:t>
      </w:r>
    </w:p>
    <w:p>
      <w:pPr>
        <w:pStyle w:val="Normal"/>
        <w:rPr/>
      </w:pPr>
      <w:r>
        <w:rPr/>
        <w:t xml:space="preserve"> </w:t>
      </w:r>
      <w:r>
        <w:rPr/>
        <w:t>EPMI and MDEA shall jointly run the Load Projection Model and the Facility Stack Model.  EPMI and MDEA will then (1) compare and verify assumptions and results from the models, (2) develop recommendations and (3) decide upon the operating plan for the day.  EPMI and MDEA shall provide at least the following information each day in order to implement the day’s planning activity:  previous day’s load and corresponding ambient weather data by 2:00 a.m. (MDEA), fuel pricing (EPMI), unit availability (MDEA), startup/shut down costs (MDEA), variable operating costs per unit, minimum run time, heat rate projections, and other information that may be deemed necessary for the planning process.  The Parties understand that the development of the projections, recommendations and daily operating plan is a complex, dynamic process that requires an element of subjective judgment by the Parties.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w:t>
      </w:r>
    </w:p>
    <w:p>
      <w:pPr>
        <w:pStyle w:val="Normal"/>
        <w:rPr/>
      </w:pPr>
      <w:r>
        <w:rPr/>
      </w:r>
    </w:p>
    <w:p>
      <w:pPr>
        <w:pStyle w:val="Normal"/>
        <w:jc w:val="both"/>
        <w:rPr>
          <w:b/>
          <w:bCs/>
        </w:rPr>
      </w:pPr>
      <w:r>
        <w:rPr>
          <w:b/>
          <w:bCs/>
        </w:rPr>
        <w:t>Hourly and Daily (Real Time) Transactions</w:t>
      </w:r>
    </w:p>
    <w:p>
      <w:pPr>
        <w:pStyle w:val="Normal"/>
        <w:jc w:val="both"/>
        <w:rPr/>
      </w:pPr>
      <w:r>
        <w:rPr/>
        <w:t>EPMI will use commercially reasonable efforts to buy and sell Products on an hourly or daily basis as are necessary (1) to supply and/or balance MDEA’s native load, (2) to balance for fluctuating output during dispatch of owned generation assets, and (3) to provide backup/replacement power/transmission during cuts/contingencies.</w:t>
      </w:r>
    </w:p>
    <w:p>
      <w:pPr>
        <w:pStyle w:val="Normal"/>
        <w:jc w:val="both"/>
        <w:rPr/>
      </w:pPr>
      <w:r>
        <w:rPr/>
        <w:t xml:space="preserve"> </w:t>
      </w:r>
    </w:p>
    <w:p>
      <w:pPr>
        <w:pStyle w:val="Normal"/>
        <w:jc w:val="both"/>
        <w:rPr/>
      </w:pPr>
      <w:r>
        <w:rPr/>
      </w:r>
    </w:p>
    <w:p>
      <w:pPr>
        <w:pStyle w:val="Normal"/>
        <w:jc w:val="both"/>
        <w:rPr/>
      </w:pPr>
      <w:r>
        <w:rPr>
          <w:b/>
          <w:bCs/>
        </w:rPr>
        <w:t xml:space="preserve">Short Term Transactions   </w:t>
      </w:r>
      <w:r>
        <w:rPr/>
        <w:t>EPMI and MDEA will communicate at least daily to discuss marketing opportunities for the balance of the week and next week’s activity.  The Products for sale and purchase shall be the same as for Hourly and Daily Transactions.    The Marketing Committee will have the final decision making responsibility for short-term opportunities.</w:t>
      </w:r>
    </w:p>
    <w:p>
      <w:pPr>
        <w:pStyle w:val="Normal"/>
        <w:jc w:val="both"/>
        <w:rPr/>
      </w:pPr>
      <w:r>
        <w:rPr/>
      </w:r>
    </w:p>
    <w:p>
      <w:pPr>
        <w:pStyle w:val="Heading3"/>
        <w:ind w:hanging="0" w:start="0"/>
        <w:rPr/>
      </w:pPr>
      <w:r>
        <w:rPr/>
        <w:t>Long Term Market Opportunities</w:t>
      </w:r>
    </w:p>
    <w:p>
      <w:pPr>
        <w:pStyle w:val="BodyText"/>
        <w:rPr/>
      </w:pPr>
      <w:r>
        <w:rPr/>
        <w:t>EPMI and MDEA will market long-term opportunities jointly (“Structured Transactions”).  Opportunities, whether Third Party Transactions or EPMI Transactions, discovered by EPMI or MDEA will be brought to the Marketing Committee for initial review.  EPMI will analyze the value and risk proposition for each potential Structured Transaction, and report to the Marketing Committee for its recommendation to pursue or not pursue the transaction.  Where a positive recommendation has resulted, EPMI and MDEA will work together as appropriate to close the transaction with the counterparty.</w:t>
      </w:r>
    </w:p>
    <w:p>
      <w:pPr>
        <w:pStyle w:val="Normal"/>
        <w:jc w:val="both"/>
        <w:rPr/>
      </w:pPr>
      <w:r>
        <w:rPr/>
      </w:r>
    </w:p>
    <w:p>
      <w:pPr>
        <w:pStyle w:val="Normal"/>
        <w:jc w:val="both"/>
        <w:rPr>
          <w:b/>
          <w:bCs/>
        </w:rPr>
      </w:pPr>
      <w:r>
        <w:rPr>
          <w:b/>
          <w:bCs/>
        </w:rPr>
      </w:r>
    </w:p>
    <w:p>
      <w:pPr>
        <w:pStyle w:val="Normal"/>
        <w:jc w:val="both"/>
        <w:rPr>
          <w:b/>
          <w:bCs/>
        </w:rPr>
      </w:pPr>
      <w:r>
        <w:rPr>
          <w:b/>
          <w:bCs/>
        </w:rPr>
        <w:t>COORDINATION</w:t>
      </w:r>
    </w:p>
    <w:p>
      <w:pPr>
        <w:pStyle w:val="Normal"/>
        <w:jc w:val="both"/>
        <w:rPr>
          <w:b/>
          <w:bCs/>
        </w:rPr>
      </w:pPr>
      <w:r>
        <w:rPr>
          <w:b/>
          <w:bCs/>
        </w:rPr>
      </w:r>
    </w:p>
    <w:p>
      <w:pPr>
        <w:pStyle w:val="Normal"/>
        <w:jc w:val="both"/>
        <w:rPr/>
      </w:pPr>
      <w:r>
        <w:rPr/>
        <w:t>EPMI and MDEA will perform their respective obligations as described in the Agreement, the Marketing Strategy, and the Trading and Risk Policy regarding trading, scheduling and marketing.  EPMI and MDEA will together evaluate the risk of it’s the MDEA portfolio.  MDEA will profile its risk appetite to help maintain an effective Marketing Strategy.  The Parties will continue to review and update the Marketing Strategy, as appropriate.</w:t>
      </w:r>
    </w:p>
    <w:p>
      <w:pPr>
        <w:pStyle w:val="Normal"/>
        <w:jc w:val="both"/>
        <w:rPr/>
      </w:pPr>
      <w:r>
        <w:rPr/>
      </w:r>
    </w:p>
    <w:p>
      <w:pPr>
        <w:pStyle w:val="Normal"/>
        <w:jc w:val="both"/>
        <w:rPr/>
      </w:pPr>
      <w:r>
        <w:rPr/>
      </w:r>
    </w:p>
    <w:p>
      <w:pPr>
        <w:pStyle w:val="Normal"/>
        <w:jc w:val="both"/>
        <w:rPr/>
      </w:pPr>
      <w:r>
        <w:rPr/>
        <w:t>Accepted and acknowledged ______day of _____, 2001</w:t>
      </w:r>
    </w:p>
    <w:p>
      <w:pPr>
        <w:pStyle w:val="Normal"/>
        <w:jc w:val="both"/>
        <w:rPr/>
      </w:pPr>
      <w:r>
        <w:rPr/>
      </w:r>
    </w:p>
    <w:p>
      <w:pPr>
        <w:pStyle w:val="Normal"/>
        <w:jc w:val="both"/>
        <w:rPr/>
      </w:pPr>
      <w:r>
        <w:rPr/>
      </w:r>
    </w:p>
    <w:p>
      <w:pPr>
        <w:pStyle w:val="Normal"/>
        <w:jc w:val="both"/>
        <w:rPr/>
      </w:pPr>
      <w:r>
        <w:rPr/>
        <w:t>_____________________________MDEA</w:t>
      </w:r>
    </w:p>
    <w:p>
      <w:pPr>
        <w:pStyle w:val="Normal"/>
        <w:jc w:val="both"/>
        <w:rPr/>
      </w:pPr>
      <w:r>
        <w:rPr/>
      </w:r>
    </w:p>
    <w:p>
      <w:pPr>
        <w:pStyle w:val="Normal"/>
        <w:jc w:val="both"/>
        <w:rPr/>
      </w:pPr>
      <w:r>
        <w:rPr/>
        <w:t>_____________________________EPMI</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2001-05-21T11:06:00Z</dcterms:created>
  <dc:creator>bsukaly</dc:creator>
  <dc:description/>
  <dc:language>en-CA</dc:language>
  <cp:lastModifiedBy>David Fairley</cp:lastModifiedBy>
  <cp:lastPrinted>2001-05-21T16:23:00Z</cp:lastPrinted>
  <dcterms:modified xsi:type="dcterms:W3CDTF">2001-05-21T21:23:00Z</dcterms:modified>
  <cp:revision>5</cp:revision>
  <dc:subject/>
  <dc:title>Exhibit A</dc:title>
</cp:coreProperties>
</file>