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EXHIBIT A</w:t>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jc w:val="both"/>
        <w:rPr/>
      </w:pPr>
      <w:r>
        <w:rPr/>
      </w:r>
    </w:p>
    <w:p>
      <w:pPr>
        <w:pStyle w:val="Normal"/>
        <w:tabs>
          <w:tab w:val="clear" w:pos="720"/>
          <w:tab w:val="center" w:pos="4680" w:leader="none"/>
        </w:tabs>
        <w:suppressAutoHyphens w:val="true"/>
        <w:jc w:val="both"/>
        <w:rPr/>
      </w:pPr>
      <w:r>
        <w:rPr/>
        <w:tab/>
      </w:r>
      <w:r>
        <w:rPr>
          <w:u w:val="single"/>
        </w:rPr>
        <w:t>Description of Collateral</w:t>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jc w:val="both"/>
        <w:rPr/>
      </w:pPr>
      <w:r>
        <w:rPr/>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jc w:val="both"/>
        <w:rPr/>
      </w:pPr>
      <w:r>
        <w:rPr/>
      </w:r>
    </w:p>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jc w:val="both"/>
        <w:rPr/>
      </w:pPr>
      <w:r>
        <w:rPr/>
        <w:tab/>
        <w:tab/>
      </w:r>
      <w:r>
        <w:rPr>
          <w:u w:val="single"/>
        </w:rPr>
        <w:t>Security</w:t>
      </w:r>
      <w:r>
        <w:rPr/>
        <w:tab/>
      </w:r>
      <w:r>
        <w:rPr>
          <w:u w:val="single"/>
        </w:rPr>
        <w:t>Percentage</w:t>
      </w:r>
    </w:p>
    <w:tbl>
      <w:tblPr>
        <w:tblW w:w="10710" w:type="dxa"/>
        <w:jc w:val="start"/>
        <w:tblInd w:w="0" w:type="dxa"/>
        <w:tblLayout w:type="fixed"/>
        <w:tblCellMar>
          <w:top w:w="0" w:type="dxa"/>
          <w:start w:w="675" w:type="dxa"/>
          <w:bottom w:w="0" w:type="dxa"/>
          <w:end w:w="675" w:type="dxa"/>
        </w:tblCellMar>
      </w:tblPr>
      <w:tblGrid>
        <w:gridCol w:w="6750"/>
        <w:gridCol w:w="3960"/>
      </w:tblGrid>
      <w:tr>
        <w:trPr/>
        <w:tc>
          <w:tcPr>
            <w:tcW w:w="6750" w:type="dxa"/>
            <w:tcBorders/>
          </w:tcPr>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snapToGrid w:val="false"/>
              <w:jc w:val="both"/>
              <w:rPr/>
            </w:pPr>
            <w:r>
              <w:rPr/>
            </w:r>
          </w:p>
        </w:tc>
        <w:tc>
          <w:tcPr>
            <w:tcW w:w="3960" w:type="dxa"/>
            <w:tcBorders/>
          </w:tcPr>
          <w:p>
            <w:pPr>
              <w:pStyle w:val="Normal"/>
              <w:tabs>
                <w:tab w:val="clear" w:pos="720"/>
                <w:tab w:val="left" w:pos="-1440" w:leader="none"/>
                <w:tab w:val="left" w:pos="450" w:leader="none"/>
                <w:tab w:val="center" w:pos="2520" w:leader="none"/>
                <w:tab w:val="center" w:pos="7920" w:leader="none"/>
                <w:tab w:val="left" w:pos="9720" w:leader="none"/>
                <w:tab w:val="left" w:pos="10080" w:leader="none"/>
              </w:tabs>
              <w:suppressAutoHyphens w:val="true"/>
              <w:snapToGrid w:val="false"/>
              <w:jc w:val="both"/>
              <w:rPr/>
            </w:pPr>
            <w:r>
              <w:rPr/>
            </w:r>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r>
              <w:rPr/>
              <w:t>1.      Securities issued or directly and fully guaranteed or insured by the United States of America having maturities of five years or less from the Valuation Date.</w:t>
            </w:r>
          </w:p>
        </w:tc>
        <w:tc>
          <w:tcPr>
            <w:tcW w:w="3960" w:type="dxa"/>
            <w:tcBorders/>
          </w:tcPr>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pPr>
            <w:r>
              <w:rPr/>
              <w:tab/>
              <w:t>98%</w:t>
            </w:r>
          </w:p>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pPr>
            <w:r>
              <w:rPr/>
            </w:r>
          </w:p>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pPr>
            <w:r>
              <w:rPr/>
            </w:r>
          </w:p>
        </w:tc>
      </w:tr>
    </w:tbl>
    <w:p>
      <w:pPr>
        <w:pStyle w:val="Normal"/>
        <w:tabs>
          <w:tab w:val="clear" w:pos="720"/>
          <w:tab w:val="left" w:pos="-1440" w:leader="none"/>
          <w:tab w:val="center" w:pos="1260" w:leader="none"/>
          <w:tab w:val="left" w:pos="3330" w:leader="none"/>
          <w:tab w:val="center" w:pos="7470" w:leader="none"/>
          <w:tab w:val="left" w:pos="9720" w:leader="none"/>
          <w:tab w:val="left" w:pos="10080" w:leader="none"/>
        </w:tabs>
        <w:suppressAutoHyphens w:val="true"/>
        <w:jc w:val="both"/>
        <w:rPr/>
      </w:pPr>
      <w:r>
        <w:rPr/>
      </w:r>
    </w:p>
    <w:tbl>
      <w:tblPr>
        <w:tblW w:w="10710" w:type="dxa"/>
        <w:jc w:val="start"/>
        <w:tblInd w:w="0" w:type="dxa"/>
        <w:tblLayout w:type="fixed"/>
        <w:tblCellMar>
          <w:top w:w="0" w:type="dxa"/>
          <w:start w:w="675" w:type="dxa"/>
          <w:bottom w:w="0" w:type="dxa"/>
          <w:end w:w="675" w:type="dxa"/>
        </w:tblCellMar>
      </w:tblPr>
      <w:tblGrid>
        <w:gridCol w:w="6750"/>
        <w:gridCol w:w="3960"/>
      </w:tblGrid>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r>
              <w:rPr/>
              <w:t>2.</w:t>
              <w:tab/>
              <w:t xml:space="preserve">Securities issued or directly and fully guaranteed or insured by the United States of America having maturities of more than five years but less than ten years from the Valuation Date.                                  </w:t>
            </w:r>
          </w:p>
        </w:tc>
        <w:tc>
          <w:tcPr>
            <w:tcW w:w="396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r>
              <w:rPr/>
              <w:tab/>
              <w:tab/>
              <w:t>95%</w:t>
            </w:r>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snapToGrid w:val="false"/>
              <w:jc w:val="both"/>
              <w:rPr/>
            </w:pPr>
            <w:r>
              <w:rPr/>
            </w:r>
          </w:p>
        </w:tc>
        <w:tc>
          <w:tcPr>
            <w:tcW w:w="396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snapToGrid w:val="false"/>
              <w:jc w:val="both"/>
              <w:rPr/>
            </w:pPr>
            <w:r>
              <w:rPr/>
            </w:r>
          </w:p>
        </w:tc>
      </w:tr>
      <w:tr>
        <w:trPr/>
        <w:tc>
          <w:tcPr>
            <w:tcW w:w="6750" w:type="dxa"/>
            <w:tcBorders/>
          </w:tcPr>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r>
              <w:rPr/>
              <w:t>3.     Securities issued or directly and fully guaranteed or insured by the United States of America having maturities of ten years or more from the Valuation Date.</w:t>
            </w:r>
          </w:p>
        </w:tc>
        <w:tc>
          <w:tcPr>
            <w:tcW w:w="3960" w:type="dxa"/>
            <w:tcBorders/>
          </w:tcPr>
          <w:p>
            <w:pPr>
              <w:pStyle w:val="Normal"/>
              <w:tabs>
                <w:tab w:val="clear" w:pos="720"/>
                <w:tab w:val="left" w:pos="-1440" w:leader="none"/>
                <w:tab w:val="left" w:pos="900" w:leader="none"/>
                <w:tab w:val="center" w:pos="1260" w:leader="none"/>
                <w:tab w:val="left" w:pos="3330" w:leader="none"/>
                <w:tab w:val="center" w:pos="7470" w:leader="none"/>
                <w:tab w:val="left" w:pos="9720" w:leader="none"/>
                <w:tab w:val="left" w:pos="10080" w:leader="none"/>
              </w:tabs>
              <w:suppressAutoHyphens w:val="true"/>
              <w:jc w:val="both"/>
              <w:rPr/>
            </w:pPr>
            <w:r>
              <w:rPr/>
              <w:t xml:space="preserve">                  </w:t>
            </w:r>
            <w:r>
              <w:rPr/>
              <w:t>95%</w:t>
            </w:r>
          </w:p>
        </w:tc>
      </w:tr>
    </w:tbl>
    <w:p>
      <w:pPr>
        <w:pStyle w:val="Normal"/>
        <w:tabs>
          <w:tab w:val="clear" w:pos="720"/>
          <w:tab w:val="left" w:pos="-1440" w:leader="none"/>
          <w:tab w:val="left" w:pos="540" w:leader="none"/>
          <w:tab w:val="center" w:pos="1260" w:leader="none"/>
          <w:tab w:val="left" w:pos="3330" w:leader="none"/>
          <w:tab w:val="center" w:pos="7470" w:leader="none"/>
          <w:tab w:val="left" w:pos="9720" w:leader="none"/>
          <w:tab w:val="left" w:pos="10080" w:leader="none"/>
        </w:tabs>
        <w:suppressAutoHyphens w:val="true"/>
        <w:jc w:val="both"/>
        <w:rPr/>
      </w:pPr>
      <w:r>
        <w:rPr/>
      </w:r>
    </w:p>
    <w:p>
      <w:pPr>
        <w:pStyle w:val="Normal"/>
        <w:rPr/>
      </w:pPr>
      <w:r>
        <w:rPr/>
      </w:r>
    </w:p>
    <w:sectPr>
      <w:type w:val="nextPage"/>
      <w:pgSz w:w="12240" w:h="15840"/>
      <w:pgMar w:left="1440" w:right="1440" w:gutter="0" w:header="0" w:top="144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3"/>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jc w:val="center"/>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2000-12-22T21:58:00Z</dcterms:created>
  <dc:creator>levyp</dc:creator>
  <dc:description/>
  <dc:language>en-CA</dc:language>
  <cp:lastModifiedBy>levyp</cp:lastModifiedBy>
  <dcterms:modified xsi:type="dcterms:W3CDTF">2000-12-22T21:59:00Z</dcterms:modified>
  <cp:revision>1</cp:revision>
  <dc:subject/>
  <dc:title>EXHIBIT A</dc:title>
</cp:coreProperties>
</file>