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tabs>
          <w:tab w:val="clear" w:pos="720"/>
          <w:tab w:val="left" w:pos="1440" w:leader="none"/>
        </w:tabs>
        <w:ind w:hanging="0" w:start="0"/>
        <w:rPr/>
      </w:pPr>
      <w:r>
        <w:rPr/>
        <w:t>Key Assumptions for Exhibit 18 Scenarios</w:t>
      </w:r>
    </w:p>
    <w:p>
      <w:pPr>
        <w:pStyle w:val="Normal"/>
        <w:jc w:val="center"/>
        <w:rPr>
          <w:b/>
          <w:u w:val="single"/>
        </w:rPr>
      </w:pPr>
      <w:r>
        <w:rPr>
          <w:b/>
          <w:u w:val="single"/>
        </w:rPr>
      </w:r>
    </w:p>
    <w:p>
      <w:pPr>
        <w:pStyle w:val="Normal"/>
        <w:rPr>
          <w:b/>
          <w:sz w:val="22"/>
        </w:rPr>
      </w:pPr>
      <w:r>
        <w:rPr>
          <w:b/>
          <w:sz w:val="22"/>
        </w:rPr>
        <w:t xml:space="preserve">Purpose: </w:t>
      </w:r>
      <w:r>
        <w:rPr>
          <w:sz w:val="22"/>
        </w:rPr>
        <w:t>SDG&amp;E revised Exhibit 18 in response to ALJ’s Wetzell’s August 15, 2001 ruling requesting SDG&amp;E to provide updated estimates and supporting analysis reflecting system average electric rate increases based on DWR’s revised revenue requirements.  The summary table below summarizes the assumptions behind the revisions to Exhibit 18 that are provided in the attachments.</w:t>
      </w:r>
    </w:p>
    <w:p>
      <w:pPr>
        <w:pStyle w:val="Normal"/>
        <w:rPr>
          <w:b/>
          <w:sz w:val="22"/>
        </w:rPr>
      </w:pPr>
      <w:r>
        <w:rPr>
          <w:b/>
          <w:sz w:val="22"/>
        </w:rPr>
      </w:r>
    </w:p>
    <w:tbl>
      <w:tblPr>
        <w:tblW w:w="10008" w:type="dxa"/>
        <w:jc w:val="start"/>
        <w:tblInd w:w="0" w:type="dxa"/>
        <w:tblLayout w:type="fixed"/>
        <w:tblCellMar>
          <w:top w:w="0" w:type="dxa"/>
          <w:start w:w="108" w:type="dxa"/>
          <w:bottom w:w="0" w:type="dxa"/>
          <w:end w:w="108" w:type="dxa"/>
        </w:tblCellMar>
      </w:tblPr>
      <w:tblGrid>
        <w:gridCol w:w="1998"/>
        <w:gridCol w:w="1530"/>
        <w:gridCol w:w="1620"/>
        <w:gridCol w:w="1620"/>
        <w:gridCol w:w="1620"/>
        <w:gridCol w:w="1620"/>
      </w:tblGrid>
      <w:tr>
        <w:trPr/>
        <w:tc>
          <w:tcPr>
            <w:tcW w:w="199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Assumptions:</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18</w:t>
            </w:r>
          </w:p>
          <w:p>
            <w:pPr>
              <w:pStyle w:val="Normal"/>
              <w:jc w:val="center"/>
              <w:rPr>
                <w:b/>
                <w:sz w:val="22"/>
              </w:rPr>
            </w:pPr>
            <w:r>
              <w:rPr>
                <w:b/>
                <w:sz w:val="22"/>
              </w:rPr>
              <w:t>Scenario 1</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rPr>
                <w:b/>
                <w:sz w:val="22"/>
              </w:rPr>
            </w:pPr>
            <w:r>
              <w:rPr>
                <w:b/>
                <w:sz w:val="22"/>
              </w:rPr>
            </w:r>
          </w:p>
          <w:p>
            <w:pPr>
              <w:pStyle w:val="Normal"/>
              <w:jc w:val="center"/>
              <w:rPr>
                <w:b/>
                <w:sz w:val="22"/>
              </w:rPr>
            </w:pPr>
            <w:r>
              <w:rPr>
                <w:b/>
                <w:sz w:val="22"/>
              </w:rPr>
              <w:t xml:space="preserve">Exhibit 18 Scenario 2   </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18  Scenario 3</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18 Scenario 4</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22"/>
              </w:rPr>
            </w:pPr>
            <w:r>
              <w:rPr>
                <w:b/>
                <w:sz w:val="22"/>
              </w:rPr>
            </w:r>
          </w:p>
          <w:p>
            <w:pPr>
              <w:pStyle w:val="Normal"/>
              <w:jc w:val="center"/>
              <w:rPr>
                <w:b/>
                <w:sz w:val="22"/>
              </w:rPr>
            </w:pPr>
            <w:r>
              <w:rPr>
                <w:b/>
                <w:sz w:val="22"/>
              </w:rPr>
              <w:t>Exhibit 18 Scenario 5</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288"/>
              <w:rPr>
                <w:sz w:val="22"/>
              </w:rPr>
            </w:pPr>
            <w:r>
              <w:rPr>
                <w:sz w:val="22"/>
              </w:rPr>
              <w:t>Time period for effective DWR rate increase</w:t>
            </w:r>
            <w:r>
              <w:rPr>
                <w:rStyle w:val="FootnoteCharacters"/>
                <w:rStyle w:val="FootnoteReference"/>
                <w:sz w:val="22"/>
              </w:rPr>
              <w:footnoteReference w:id="2"/>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9/30/03</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9/01/01 to 12/31/02</w:t>
            </w:r>
            <w:r>
              <w:rPr>
                <w:rStyle w:val="FootnoteCharacters"/>
                <w:rStyle w:val="FootnoteReference"/>
                <w:sz w:val="22"/>
              </w:rPr>
              <w:footnoteReference w:id="3"/>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10/01/01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3/27/01 to 12/31/02</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URG Allocation Method</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Equally to all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Equally to all customers </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Equally to all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Equally to all customers</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Equally to all customers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Retroactive increase to AB 43 customers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AB 43 customers  only</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NA</w:t>
            </w:r>
            <w:r>
              <w:rPr>
                <w:rStyle w:val="FootnoteCharacters"/>
                <w:rStyle w:val="FootnoteReference"/>
                <w:sz w:val="22"/>
              </w:rPr>
              <w:footnoteReference w:id="4"/>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All customers assumed to pay increase beginning 3/27/01. </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Time period used to develop URG costs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7/01/01 to 12/31/02</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numPr>
                <w:ilvl w:val="0"/>
                <w:numId w:val="2"/>
              </w:numPr>
              <w:tabs>
                <w:tab w:val="clear" w:pos="720"/>
                <w:tab w:val="left" w:pos="270" w:leader="none"/>
              </w:tabs>
              <w:ind w:hanging="0" w:start="0" w:end="0"/>
              <w:rPr>
                <w:sz w:val="22"/>
              </w:rPr>
            </w:pPr>
            <w:r>
              <w:rPr>
                <w:sz w:val="22"/>
              </w:rPr>
              <w:t>CTC Eliminated for AB 43 customers</w:t>
            </w:r>
          </w:p>
        </w:tc>
        <w:tc>
          <w:tcPr>
            <w:tcW w:w="153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p>
            <w:pPr>
              <w:pStyle w:val="Normal"/>
              <w:rPr>
                <w:sz w:val="22"/>
              </w:rPr>
            </w:pPr>
            <w:r>
              <w:rPr>
                <w:sz w:val="22"/>
              </w:rPr>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tc>
        <w:tc>
          <w:tcPr>
            <w:tcW w:w="16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tc>
      </w:tr>
    </w:tbl>
    <w:p>
      <w:pPr>
        <w:pStyle w:val="Normal"/>
        <w:rPr/>
      </w:pPr>
      <w:r>
        <w:rPr/>
      </w:r>
    </w:p>
    <w:sectPr>
      <w:footnotePr>
        <w:numFmt w:val="decimal"/>
      </w:footnote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When first day of the month or last day of the month is indicated, SDG&amp;E would plan to implement new rates on the first billing cycle of the month, not necessarily the first calendar day of the month.</w:t>
      </w:r>
    </w:p>
  </w:footnote>
  <w:footnote w:id="3">
    <w:p>
      <w:pPr>
        <w:pStyle w:val="FootnoteText"/>
        <w:rPr/>
      </w:pPr>
      <w:r>
        <w:rPr>
          <w:rStyle w:val="FootnoteCharacters"/>
        </w:rPr>
        <w:footnoteRef/>
      </w:r>
      <w:r>
        <w:rPr/>
        <w:t xml:space="preserve"> </w:t>
      </w:r>
      <w:r>
        <w:rPr/>
        <w:t>SDG&amp;E customers are not currently paying a DWR rate increase.  As stated in SDG&amp;E July 23 Comments on DWR’s Revised Revenue Requirement, the earliest date that SDG&amp;E can implement the DWR rate increases is October 1, 2001.</w:t>
      </w:r>
    </w:p>
  </w:footnote>
  <w:footnote w:id="4">
    <w:p>
      <w:pPr>
        <w:pStyle w:val="FootnoteText"/>
        <w:rPr/>
      </w:pPr>
      <w:r>
        <w:rPr>
          <w:rStyle w:val="FootnoteCharacters"/>
        </w:rPr>
        <w:footnoteRef/>
      </w:r>
      <w:r>
        <w:rPr/>
        <w:t xml:space="preserve"> </w:t>
      </w:r>
      <w:r>
        <w:rPr/>
        <w:t>The 3.80 cents per kWh system average rate increase reflected in Scenario 4 is the rate increase that results before considering whether to apply a retroactive rate increase for AB43 customers.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center"/>
      <w:outlineLvl w:val="1"/>
    </w:pPr>
    <w:rPr>
      <w:b/>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2001-08-17T05:11:00Z</dcterms:created>
  <dc:creator>Sempra Energy</dc:creator>
  <dc:description/>
  <dc:language>en-CA</dc:language>
  <cp:lastModifiedBy>william saxe</cp:lastModifiedBy>
  <cp:lastPrinted>2001-08-16T16:24:00Z</cp:lastPrinted>
  <dcterms:modified xsi:type="dcterms:W3CDTF">2001-08-17T05:11:00Z</dcterms:modified>
  <cp:revision>2</cp:revision>
  <dc:subject/>
  <dc:title>SDG&amp;E provides the following attachment in response to  ALJ’s Wetzell’s  August 15, 2001 ruling requesting SDG&amp;E to provide updated estimates and supporting analysis reflecting system average electric rate increases based on DWR’s revised revenue require</dc:title>
</cp:coreProperties>
</file>