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jc w:val="center"/>
        <w:rPr>
          <w:b/>
          <w:spacing w:val="0"/>
        </w:rPr>
      </w:pPr>
      <w:r>
        <w:rPr>
          <w:b/>
          <w:spacing w:val="0"/>
        </w:rPr>
        <w:t>Exhibit A to UCC Financing Statement</w:t>
      </w:r>
    </w:p>
    <w:p>
      <w:pPr>
        <w:pStyle w:val="Normal"/>
        <w:rPr>
          <w:b/>
          <w:spacing w:val="0"/>
        </w:rPr>
      </w:pPr>
      <w:r>
        <w:rPr>
          <w:b/>
          <w:spacing w:val="0"/>
        </w:rPr>
      </w:r>
    </w:p>
    <w:p>
      <w:pPr>
        <w:pStyle w:val="Normal"/>
        <w:suppressAutoHyphens w:val="true"/>
        <w:spacing w:before="0" w:after="240"/>
        <w:jc w:val="both"/>
        <w:rPr/>
      </w:pPr>
      <w:r>
        <w:rPr>
          <w:spacing w:val="0"/>
          <w:sz w:val="20"/>
        </w:rPr>
        <w:t>I.</w:t>
        <w:tab/>
        <w:t>All of the right, title and interest of Lost Creek Gathering Company, L.L.C. (the “</w:t>
      </w:r>
      <w:r>
        <w:rPr>
          <w:spacing w:val="0"/>
          <w:sz w:val="20"/>
          <w:u w:val="single"/>
        </w:rPr>
        <w:t>Debtor</w:t>
      </w:r>
      <w:r>
        <w:rPr>
          <w:spacing w:val="0"/>
          <w:sz w:val="20"/>
        </w:rPr>
        <w:t>”) in and to the following property, whether now owned or hereafter acquired by the Debtor and whether now existing or hereafter coming into existence (collectively, the “</w:t>
      </w:r>
      <w:r>
        <w:rPr>
          <w:spacing w:val="0"/>
          <w:sz w:val="20"/>
          <w:u w:val="single"/>
        </w:rPr>
        <w:t>Collateral</w:t>
      </w:r>
      <w:r>
        <w:rPr>
          <w:spacing w:val="0"/>
          <w:sz w:val="20"/>
        </w:rPr>
        <w:t>”):</w:t>
      </w:r>
    </w:p>
    <w:p>
      <w:pPr>
        <w:pStyle w:val="Normal"/>
        <w:suppressAutoHyphens w:val="true"/>
        <w:spacing w:before="0" w:after="240"/>
        <w:ind w:firstLine="720" w:end="0"/>
        <w:jc w:val="both"/>
        <w:rPr/>
      </w:pPr>
      <w:r>
        <w:rPr>
          <w:spacing w:val="0"/>
          <w:sz w:val="20"/>
        </w:rPr>
        <w:t xml:space="preserve"> </w:t>
      </w:r>
      <w:r>
        <w:rPr>
          <w:spacing w:val="0"/>
          <w:sz w:val="20"/>
        </w:rPr>
        <w:t>(a)</w:t>
        <w:tab/>
        <w:t>the ECT-WR Consent to Assignment, the EPC Contractor Consent to Assignment, the ENA Consent to Assignment, and the BRTI Consent to Assignment (collectively the “</w:t>
      </w:r>
      <w:r>
        <w:rPr>
          <w:spacing w:val="0"/>
          <w:sz w:val="20"/>
          <w:u w:val="single"/>
        </w:rPr>
        <w:t>Consents to Assignment</w:t>
      </w:r>
      <w:r>
        <w:rPr>
          <w:spacing w:val="0"/>
          <w:sz w:val="20"/>
        </w:rPr>
        <w:t>”), the Administrative Services Agreement, the Sponsor Gas Gathering Agreements, the Construction Agreement (together with the Administrative Service Agreement, the Sponsor Gas Gathering Agreement and the Consents to Assignment, collectively the “</w:t>
      </w:r>
      <w:r>
        <w:rPr>
          <w:spacing w:val="0"/>
          <w:sz w:val="20"/>
          <w:u w:val="single"/>
        </w:rPr>
        <w:t>Project Documents</w:t>
      </w:r>
      <w:r>
        <w:rPr>
          <w:spacing w:val="0"/>
          <w:sz w:val="20"/>
        </w:rPr>
        <w:t>”) and, to the extent assignable, each additional contract or agreement relating to the Development of the Project entered into by the Debtor subsequent to the Closing Date, but excluding in any event all Non-Material Project Contracts (collectively, the “</w:t>
      </w:r>
      <w:r>
        <w:rPr>
          <w:spacing w:val="0"/>
          <w:sz w:val="20"/>
          <w:u w:val="single"/>
        </w:rPr>
        <w:t>Additional Project Documents</w:t>
      </w:r>
      <w:r>
        <w:rPr>
          <w:spacing w:val="0"/>
          <w:sz w:val="20"/>
        </w:rPr>
        <w:t>” and, together with the Project Documents, the “</w:t>
      </w:r>
      <w:r>
        <w:rPr>
          <w:spacing w:val="0"/>
          <w:sz w:val="20"/>
          <w:u w:val="single"/>
        </w:rPr>
        <w:t>Pledged Project Documents</w:t>
      </w:r>
      <w:r>
        <w:rPr>
          <w:spacing w:val="0"/>
          <w:sz w:val="20"/>
        </w:rPr>
        <w:t>”);</w:t>
      </w:r>
    </w:p>
    <w:p>
      <w:pPr>
        <w:pStyle w:val="Normal"/>
        <w:suppressAutoHyphens w:val="true"/>
        <w:spacing w:before="0" w:after="240"/>
        <w:ind w:firstLine="720" w:end="0"/>
        <w:jc w:val="both"/>
        <w:rPr/>
      </w:pPr>
      <w:r>
        <w:rPr>
          <w:spacing w:val="0"/>
          <w:sz w:val="20"/>
        </w:rPr>
        <w:t xml:space="preserve"> </w:t>
      </w:r>
      <w:r>
        <w:rPr>
          <w:spacing w:val="0"/>
          <w:sz w:val="20"/>
        </w:rPr>
        <w:t>(b)</w:t>
        <w:tab/>
        <w:t>all accounts and general intangibles (each as defined in the UCC) of the Debtor constituting a right to the payment of money under, or arising out of, any Pledged Project Document, whether or not earned by performance, including all moneys due and to become due to the Debtor under, or arising out of, any Pledged Project Document in payment for goods (including Inventory and Equipment) sold or leased or for services rendered and in payment of any guarantee of any of the foregoing (collectively, the “</w:t>
      </w:r>
      <w:r>
        <w:rPr>
          <w:spacing w:val="0"/>
          <w:sz w:val="20"/>
          <w:u w:val="single"/>
        </w:rPr>
        <w:t>Accounts</w:t>
      </w:r>
      <w:r>
        <w:rPr>
          <w:spacing w:val="0"/>
          <w:sz w:val="20"/>
        </w:rPr>
        <w:t>”);</w:t>
      </w:r>
    </w:p>
    <w:p>
      <w:pPr>
        <w:pStyle w:val="Normal"/>
        <w:suppressAutoHyphens w:val="true"/>
        <w:spacing w:before="0" w:after="240"/>
        <w:ind w:firstLine="720" w:end="0"/>
        <w:jc w:val="both"/>
        <w:rPr/>
      </w:pPr>
      <w:r>
        <w:rPr>
          <w:spacing w:val="0"/>
          <w:sz w:val="20"/>
        </w:rPr>
        <w:t xml:space="preserve"> </w:t>
      </w:r>
      <w:r>
        <w:rPr>
          <w:spacing w:val="0"/>
          <w:sz w:val="20"/>
        </w:rPr>
        <w:t>(c)</w:t>
        <w:tab/>
        <w:t>all instruments, chattel paper or letters of credit (each as defined in the UCC) of the Debtor to the extent evidencing, representing, arising from or existing in respect of, relating to, securing or otherwise supporting the payment of, any of the Accounts (collectively, the “</w:t>
      </w:r>
      <w:r>
        <w:rPr>
          <w:spacing w:val="0"/>
          <w:sz w:val="20"/>
          <w:u w:val="single"/>
        </w:rPr>
        <w:t>Instruments</w:t>
      </w:r>
      <w:r>
        <w:rPr>
          <w:spacing w:val="0"/>
          <w:sz w:val="20"/>
        </w:rPr>
        <w:t>”);</w:t>
      </w:r>
    </w:p>
    <w:p>
      <w:pPr>
        <w:pStyle w:val="Normal"/>
        <w:suppressAutoHyphens w:val="true"/>
        <w:spacing w:before="0" w:after="240"/>
        <w:ind w:firstLine="720" w:end="0"/>
        <w:jc w:val="both"/>
        <w:rPr/>
      </w:pPr>
      <w:r>
        <w:rPr>
          <w:spacing w:val="0"/>
          <w:sz w:val="20"/>
        </w:rPr>
        <w:t xml:space="preserve"> </w:t>
      </w:r>
      <w:r>
        <w:rPr>
          <w:spacing w:val="0"/>
          <w:sz w:val="20"/>
        </w:rPr>
        <w:t>(d)</w:t>
        <w:tab/>
        <w:t>except as provided below, all inventory (as defined in the UCC) and all other goods (excluding vehicles) of the Debtor that are held by the Debtor for sale, lease or furnishing under a contract of service that are so leased or furnished or that constitute raw materials, work in process or material used or consumed in its business, including all spare parts and related supplies, all goods obtained by the Debtor in exchange for any such goods, all products made or processed from any such goods and all substances, if any, commingled with or added to any such goods (collectively, the “</w:t>
      </w:r>
      <w:r>
        <w:rPr>
          <w:spacing w:val="0"/>
          <w:sz w:val="20"/>
          <w:u w:val="single"/>
        </w:rPr>
        <w:t>Inventory</w:t>
      </w:r>
      <w:r>
        <w:rPr>
          <w:spacing w:val="0"/>
          <w:sz w:val="20"/>
        </w:rPr>
        <w:t>”);</w:t>
      </w:r>
    </w:p>
    <w:p>
      <w:pPr>
        <w:pStyle w:val="Normal"/>
        <w:suppressAutoHyphens w:val="true"/>
        <w:spacing w:before="0" w:after="240"/>
        <w:ind w:firstLine="720" w:end="0"/>
        <w:jc w:val="both"/>
        <w:rPr/>
      </w:pPr>
      <w:r>
        <w:rPr>
          <w:spacing w:val="0"/>
          <w:sz w:val="20"/>
        </w:rPr>
        <w:t xml:space="preserve"> </w:t>
      </w:r>
      <w:r>
        <w:rPr>
          <w:spacing w:val="0"/>
          <w:sz w:val="20"/>
        </w:rPr>
        <w:t>(e)</w:t>
        <w:tab/>
        <w:t>all equipment (as defined in the UCC), including all machinery, apparatus, installation facilities and other tangible personal property owned by the Debtor on the date hereof or hereafter acquired, and to the extent not included in the foregoing, products, additions, substitutions, replacements, and proceeds of any and all of the Collateral, in each case to the extent not constituting inventory, but specifically excluding (i) the Facilities and (ii) any and all equipment leased by the Debtor pursuant to an operating lease or a capital lease (the “</w:t>
      </w:r>
      <w:r>
        <w:rPr>
          <w:spacing w:val="0"/>
          <w:sz w:val="20"/>
          <w:u w:val="single"/>
        </w:rPr>
        <w:t>Leased Equipment</w:t>
      </w:r>
      <w:r>
        <w:rPr>
          <w:spacing w:val="0"/>
          <w:sz w:val="20"/>
        </w:rPr>
        <w:t>”) (all such non-excluded equipment and other like non-excluded items referred to in this paragraph (e), collectively, the “</w:t>
      </w:r>
      <w:r>
        <w:rPr>
          <w:spacing w:val="0"/>
          <w:sz w:val="20"/>
          <w:u w:val="single"/>
        </w:rPr>
        <w:t>Equipment</w:t>
      </w:r>
      <w:r>
        <w:rPr>
          <w:spacing w:val="0"/>
          <w:sz w:val="20"/>
        </w:rPr>
        <w:t>”);</w:t>
      </w:r>
    </w:p>
    <w:p>
      <w:pPr>
        <w:pStyle w:val="Normal"/>
        <w:suppressAutoHyphens w:val="true"/>
        <w:ind w:firstLine="720" w:end="0"/>
        <w:jc w:val="both"/>
        <w:rPr>
          <w:spacing w:val="0"/>
          <w:sz w:val="20"/>
        </w:rPr>
      </w:pPr>
      <w:r>
        <w:rPr>
          <w:spacing w:val="0"/>
          <w:sz w:val="20"/>
        </w:rPr>
        <w:t xml:space="preserve"> </w:t>
      </w:r>
      <w:r>
        <w:rPr>
          <w:spacing w:val="0"/>
          <w:sz w:val="20"/>
        </w:rPr>
        <w:t>(f)</w:t>
        <w:tab/>
        <w:t>all Securities Accounts and all funds and all other property credited to the Securities Accounts;</w:t>
      </w:r>
    </w:p>
    <w:p>
      <w:pPr>
        <w:pStyle w:val="Normal"/>
        <w:suppressAutoHyphens w:val="true"/>
        <w:jc w:val="both"/>
        <w:rPr>
          <w:spacing w:val="0"/>
          <w:sz w:val="20"/>
        </w:rPr>
      </w:pPr>
      <w:r>
        <w:rPr>
          <w:spacing w:val="0"/>
          <w:sz w:val="20"/>
        </w:rPr>
        <w:t xml:space="preserve"> </w:t>
      </w:r>
      <w:r>
        <w:rPr>
          <w:spacing w:val="0"/>
          <w:sz w:val="20"/>
        </w:rPr>
        <w:tab/>
      </w:r>
    </w:p>
    <w:p>
      <w:pPr>
        <w:pStyle w:val="Normal"/>
        <w:suppressAutoHyphens w:val="true"/>
        <w:spacing w:before="0" w:after="240"/>
        <w:ind w:firstLine="720" w:end="0"/>
        <w:jc w:val="both"/>
        <w:rPr/>
      </w:pPr>
      <w:r>
        <w:rPr>
          <w:spacing w:val="0"/>
          <w:sz w:val="20"/>
        </w:rPr>
        <w:t xml:space="preserve"> </w:t>
      </w:r>
      <w:r>
        <w:rPr>
          <w:spacing w:val="0"/>
          <w:sz w:val="20"/>
        </w:rPr>
        <w:t>(g)</w:t>
        <w:tab/>
        <w:t>all documents of title (as defined in the UCC) or other receipts of the Debtor covering, evidencing or representing Inventory or Equipment (collectively, the “</w:t>
      </w:r>
      <w:r>
        <w:rPr>
          <w:spacing w:val="0"/>
          <w:sz w:val="20"/>
          <w:u w:val="single"/>
        </w:rPr>
        <w:t>Documents</w:t>
      </w:r>
      <w:r>
        <w:rPr>
          <w:spacing w:val="0"/>
          <w:sz w:val="20"/>
        </w:rPr>
        <w:t>”);</w:t>
      </w:r>
    </w:p>
    <w:p>
      <w:pPr>
        <w:pStyle w:val="Normal"/>
        <w:suppressAutoHyphens w:val="true"/>
        <w:spacing w:before="0" w:after="240"/>
        <w:ind w:firstLine="720" w:end="0"/>
        <w:jc w:val="both"/>
        <w:rPr>
          <w:spacing w:val="0"/>
          <w:sz w:val="20"/>
        </w:rPr>
      </w:pPr>
      <w:r>
        <w:rPr>
          <w:spacing w:val="0"/>
          <w:sz w:val="20"/>
        </w:rPr>
        <w:t xml:space="preserve"> </w:t>
      </w:r>
      <w:r>
        <w:rPr>
          <w:spacing w:val="0"/>
          <w:sz w:val="20"/>
        </w:rPr>
        <w:t>(h)</w:t>
        <w:tab/>
        <w:t>all copyrights, all patents and patent applications (including the inventions and improvements described and claimed therein together with the reissues, divisions, continuations, renewals, extensions and continuations in-part thereof), all trade names, trademarks and service marks, logos, trademark and service mark registrations (including all renewals of trademark and service mark registrations, and all rights corresponding thereto throughout the world together, in each case, with the goodwill of the business connected with the use of, and symbolized by, each such trade name, trademark and service mark, but excluding any such registration that would be rendered invalid, abandoned, void or unenforceable by reason of its being included as part of the Collateral), all inventions, processes, production methods, proprietary information, know-how and trade secrets, all licenses or user or other agreements granted to the Debtor with respect to any of the foregoing, in each case whether now or hereafter owned or used (including the licenses or other agreements with respect to any of the foregoing), except, in each case above, to the extent relating to any Property not included in the Collateral;</w:t>
      </w:r>
    </w:p>
    <w:p>
      <w:pPr>
        <w:pStyle w:val="Normal"/>
        <w:suppressAutoHyphens w:val="true"/>
        <w:spacing w:before="0" w:after="240"/>
        <w:ind w:firstLine="720" w:end="0"/>
        <w:jc w:val="both"/>
        <w:rPr>
          <w:spacing w:val="0"/>
          <w:sz w:val="20"/>
        </w:rPr>
      </w:pPr>
      <w:r>
        <w:rPr>
          <w:spacing w:val="0"/>
          <w:sz w:val="20"/>
        </w:rPr>
        <w:t xml:space="preserve"> </w:t>
      </w:r>
      <w:r>
        <w:rPr>
          <w:spacing w:val="0"/>
          <w:sz w:val="20"/>
        </w:rPr>
        <w:t>(i)</w:t>
        <w:tab/>
        <w:t>all contracts and other agreements of the Debtor relating to the sale or other disposition of all or any part of the Inventory, Equipment or Documents and all rights, warranties, claims and benefits of the Debtor against any Person, including those arising out of, relating to or in connection with all or any part of the Inventory, Equipment or Documents of the Debtor, including any such rights, warranties, claims or benefits against any Person storing or transporting any such Inventory or Equipment or issuing any such Documents (but excluding in any event all Non- Material Project Contracts);</w:t>
      </w:r>
    </w:p>
    <w:p>
      <w:pPr>
        <w:pStyle w:val="Normal"/>
        <w:suppressAutoHyphens w:val="true"/>
        <w:spacing w:before="0" w:after="240"/>
        <w:ind w:firstLine="720" w:end="0"/>
        <w:jc w:val="both"/>
        <w:rPr>
          <w:spacing w:val="0"/>
          <w:sz w:val="20"/>
        </w:rPr>
      </w:pPr>
      <w:r>
        <w:rPr>
          <w:spacing w:val="0"/>
          <w:sz w:val="20"/>
        </w:rPr>
        <w:t xml:space="preserve"> </w:t>
      </w:r>
      <w:r>
        <w:rPr>
          <w:spacing w:val="0"/>
          <w:sz w:val="20"/>
        </w:rPr>
        <w:t>(j)</w:t>
        <w:tab/>
        <w:t>all other accounts or general intangibles (unless specifically excluded herefrom) of the Debtor not constituting Accounts, including, to the extent related to all or any part of the other Collateral, all books, correspondence, credit files, records, invoices, tapes, cards, computer runs and other papers and documents in the possession or under the control of the Debtor or any computer bureau or service company from time to time acting for the Debtor;</w:t>
      </w:r>
    </w:p>
    <w:p>
      <w:pPr>
        <w:pStyle w:val="Normal"/>
        <w:suppressAutoHyphens w:val="true"/>
        <w:spacing w:before="0" w:after="240"/>
        <w:ind w:firstLine="720" w:end="0"/>
        <w:jc w:val="both"/>
        <w:rPr>
          <w:spacing w:val="0"/>
          <w:sz w:val="20"/>
        </w:rPr>
      </w:pPr>
      <w:r>
        <w:rPr>
          <w:spacing w:val="0"/>
          <w:sz w:val="20"/>
        </w:rPr>
        <w:t xml:space="preserve"> </w:t>
      </w:r>
      <w:r>
        <w:rPr>
          <w:spacing w:val="0"/>
          <w:sz w:val="20"/>
        </w:rPr>
        <w:t>(k)</w:t>
        <w:tab/>
        <w:t>all Government Approvals, provided that any Government Approval that by its terms or by operation of law is not freely assignable or pledgable without further act or that would be breached or become void, voidable, terminable, revocable or otherwise impaired if mortgaged, pledged or assigned or if a security interest therein was granted is expressly excepted and excluded from the Collateral;</w:t>
      </w:r>
    </w:p>
    <w:p>
      <w:pPr>
        <w:pStyle w:val="Normal"/>
        <w:spacing w:before="0" w:after="240"/>
        <w:ind w:firstLine="720" w:end="0"/>
        <w:jc w:val="both"/>
        <w:rPr>
          <w:spacing w:val="0"/>
          <w:sz w:val="20"/>
        </w:rPr>
      </w:pPr>
      <w:r>
        <w:rPr>
          <w:spacing w:val="0"/>
          <w:sz w:val="20"/>
        </w:rPr>
        <w:t xml:space="preserve"> </w:t>
      </w:r>
      <w:r>
        <w:rPr>
          <w:spacing w:val="0"/>
          <w:sz w:val="20"/>
        </w:rPr>
        <w:t>(m)</w:t>
        <w:tab/>
        <w:t>all proceeds and products in whatever form of all or any part of the other Collateral, including all Loss Proceeds of all or any part of the other Collateral (together with all rights to recover and proceed with respect to the same), and all accessories to, substitutions for and replacements of all or any part of the other Collateral.</w:t>
      </w:r>
    </w:p>
    <w:p>
      <w:pPr>
        <w:pStyle w:val="Normal"/>
        <w:suppressAutoHyphens w:val="true"/>
        <w:spacing w:before="0" w:after="240"/>
        <w:ind w:firstLine="1440" w:end="0"/>
        <w:jc w:val="both"/>
        <w:rPr/>
      </w:pPr>
      <w:r>
        <w:rPr>
          <w:spacing w:val="0"/>
          <w:sz w:val="20"/>
        </w:rPr>
        <w:t>Notwithstanding any provision to the contrary set forth herein, the Collateral shall not include or cover (i) the Facilities, (ii) the Non-Material Project Contracts, (iii) any Leased Equipment, (iv) any other Property expressly excluded from the Collateral under any of clauses (a) through (m) above, (v) all accounts, general intangibles, instruments, chattel paper, letters of credit, documents of title, intellectual property, contracts and agreements evidencing, embodying, representing, arising from, existing in respect of, securing, covering, supporting or otherwise relating to any of the Property described in clauses (i) though (iv) and not otherwise expressly included in the Collateral pursuant to clauses (a) through (m) above, (vi) all proceeds and products of the Property described in clauses (i) through (v) above, and (vii) any coalbed methane gas, natural gas or other gas or liquids in or transported through the Facilities or Compressor/Dewpoint Site (all of the Property described in clauses (i) through (vii) above, “</w:t>
      </w:r>
      <w:r>
        <w:rPr>
          <w:spacing w:val="0"/>
          <w:sz w:val="20"/>
          <w:u w:val="single"/>
        </w:rPr>
        <w:t>Excluded Property</w:t>
      </w:r>
      <w:r>
        <w:rPr>
          <w:spacing w:val="0"/>
          <w:sz w:val="20"/>
        </w:rPr>
        <w:t>”).</w:t>
      </w:r>
    </w:p>
    <w:p>
      <w:pPr>
        <w:pStyle w:val="Normal"/>
        <w:suppressAutoHyphens w:val="true"/>
        <w:spacing w:before="0" w:after="240"/>
        <w:jc w:val="both"/>
        <w:rPr>
          <w:spacing w:val="0"/>
          <w:sz w:val="20"/>
        </w:rPr>
      </w:pPr>
      <w:r>
        <w:rPr>
          <w:spacing w:val="0"/>
          <w:sz w:val="20"/>
        </w:rPr>
        <w:t>For purposes of this Exhibit, the following words shall have the following meanings:</w:t>
      </w:r>
    </w:p>
    <w:p>
      <w:pPr>
        <w:pStyle w:val="Normal"/>
        <w:suppressAutoHyphens w:val="true"/>
        <w:spacing w:before="0" w:after="240"/>
        <w:ind w:firstLine="720" w:end="0"/>
        <w:jc w:val="both"/>
        <w:rPr/>
      </w:pPr>
      <w:r>
        <w:rPr>
          <w:spacing w:val="0"/>
          <w:sz w:val="20"/>
        </w:rPr>
        <w:t xml:space="preserve"> “</w:t>
      </w:r>
      <w:r>
        <w:rPr>
          <w:spacing w:val="0"/>
          <w:sz w:val="20"/>
          <w:u w:val="single"/>
        </w:rPr>
        <w:t>Acceptable Bank</w:t>
      </w:r>
      <w:r>
        <w:rPr>
          <w:spacing w:val="0"/>
          <w:sz w:val="20"/>
        </w:rPr>
        <w:t>” shall mean (a) any Bank or (b) any other bank or trust company that is organized under the laws of the United States or any state thereof that has capital, surplus and undivided profits of at least $500,000,000 and has outstanding unsecured long-term indebtedness that is rated A or better by S&amp;P or A2 or better by Moody’s (or an equivalent rating by another nationally recognized statistical rating organization of similar standing if neither such corporation is in the business of rating unsecured bank indebtedness).</w:t>
      </w:r>
    </w:p>
    <w:p>
      <w:pPr>
        <w:pStyle w:val="Normal"/>
        <w:suppressAutoHyphens w:val="true"/>
        <w:spacing w:before="0" w:after="240"/>
        <w:ind w:firstLine="720" w:end="0"/>
        <w:jc w:val="both"/>
        <w:rPr/>
      </w:pPr>
      <w:r>
        <w:rPr>
          <w:spacing w:val="0"/>
          <w:sz w:val="20"/>
        </w:rPr>
        <w:t xml:space="preserve"> “</w:t>
      </w:r>
      <w:r>
        <w:rPr>
          <w:spacing w:val="0"/>
          <w:sz w:val="20"/>
          <w:u w:val="single"/>
        </w:rPr>
        <w:t>Additional Gas Gathering Agreements</w:t>
      </w:r>
      <w:r>
        <w:rPr>
          <w:spacing w:val="0"/>
          <w:sz w:val="20"/>
        </w:rPr>
        <w:t xml:space="preserve">” shall mean any gas gathering agreement, gas transportation agreement or similar agreement (other than a Sponsor Gas Gathering Agreement (including any Sponsor Gas Gathering Agreement entered into in substitution or successive substitution of any Sponsor Gas Gathering Agreement pursuant to </w:t>
      </w:r>
      <w:r>
        <w:rPr>
          <w:spacing w:val="0"/>
          <w:sz w:val="20"/>
          <w:u w:val="single"/>
        </w:rPr>
        <w:t>Section 8.20</w:t>
      </w:r>
      <w:r>
        <w:rPr>
          <w:spacing w:val="0"/>
          <w:sz w:val="20"/>
        </w:rPr>
        <w:t>)) entered into by the Debtor with any Person and that provides for the transportation of gas through the Facilities.</w:t>
      </w:r>
    </w:p>
    <w:p>
      <w:pPr>
        <w:pStyle w:val="Normal"/>
        <w:suppressAutoHyphens w:val="true"/>
        <w:spacing w:before="0" w:after="240"/>
        <w:ind w:firstLine="720" w:end="0"/>
        <w:jc w:val="both"/>
        <w:rPr/>
      </w:pPr>
      <w:r>
        <w:rPr>
          <w:spacing w:val="0"/>
          <w:sz w:val="20"/>
        </w:rPr>
        <w:t xml:space="preserve"> “</w:t>
      </w:r>
      <w:r>
        <w:rPr>
          <w:spacing w:val="0"/>
          <w:sz w:val="20"/>
          <w:u w:val="single"/>
        </w:rPr>
        <w:t>Additional Operating Accounts</w:t>
      </w:r>
      <w:r>
        <w:rPr>
          <w:spacing w:val="0"/>
          <w:sz w:val="20"/>
        </w:rPr>
        <w:t>” shall mean any checking, securities or other accounts (but excluding the Securities Accounts) established by the Debtor from time to time in the ordinary course of the Debtor’s business with such Persons as the Debtor may select.</w:t>
      </w:r>
    </w:p>
    <w:p>
      <w:pPr>
        <w:pStyle w:val="Normal"/>
        <w:suppressAutoHyphens w:val="true"/>
        <w:ind w:firstLine="720" w:end="0"/>
        <w:jc w:val="both"/>
        <w:rPr/>
      </w:pPr>
      <w:r>
        <w:rPr>
          <w:spacing w:val="0"/>
          <w:sz w:val="20"/>
        </w:rPr>
        <w:t xml:space="preserve"> “</w:t>
      </w:r>
      <w:r>
        <w:rPr>
          <w:spacing w:val="0"/>
          <w:sz w:val="20"/>
          <w:u w:val="single"/>
        </w:rPr>
        <w:t>Administrative Agent</w:t>
      </w:r>
      <w:r>
        <w:rPr>
          <w:spacing w:val="0"/>
          <w:sz w:val="20"/>
        </w:rPr>
        <w:t>” shall mean Barclays Bank PLC, in its capacity as administrative agent for the Banks.</w:t>
      </w:r>
    </w:p>
    <w:p>
      <w:pPr>
        <w:pStyle w:val="Normal"/>
        <w:suppressAutoHyphens w:val="true"/>
        <w:jc w:val="both"/>
        <w:rPr>
          <w:spacing w:val="0"/>
          <w:sz w:val="20"/>
        </w:rPr>
      </w:pPr>
      <w:r>
        <w:rPr>
          <w:spacing w:val="0"/>
          <w:sz w:val="20"/>
        </w:rPr>
        <w:t xml:space="preserve"> </w:t>
      </w:r>
    </w:p>
    <w:p>
      <w:pPr>
        <w:pStyle w:val="Normal"/>
        <w:suppressAutoHyphens w:val="true"/>
        <w:spacing w:before="0" w:after="240"/>
        <w:ind w:firstLine="720" w:end="0"/>
        <w:jc w:val="both"/>
        <w:rPr/>
      </w:pPr>
      <w:r>
        <w:rPr>
          <w:spacing w:val="0"/>
          <w:sz w:val="20"/>
        </w:rPr>
        <w:t xml:space="preserve"> “</w:t>
      </w:r>
      <w:r>
        <w:rPr>
          <w:spacing w:val="0"/>
          <w:sz w:val="20"/>
          <w:u w:val="single"/>
        </w:rPr>
        <w:t>Administrative Services Agreement</w:t>
      </w:r>
      <w:r>
        <w:rPr>
          <w:spacing w:val="0"/>
          <w:sz w:val="20"/>
        </w:rPr>
        <w:t>” shall mean the Administrative Services Agreement, dated as of December 17, 1998, between the Debtor and ECT-WR.</w:t>
      </w:r>
    </w:p>
    <w:p>
      <w:pPr>
        <w:pStyle w:val="Normal"/>
        <w:suppressAutoHyphens w:val="true"/>
        <w:spacing w:before="0" w:after="240"/>
        <w:ind w:firstLine="720" w:end="0"/>
        <w:jc w:val="both"/>
        <w:rPr/>
      </w:pPr>
      <w:r>
        <w:rPr>
          <w:spacing w:val="0"/>
          <w:sz w:val="20"/>
        </w:rPr>
        <w:t xml:space="preserve"> “</w:t>
      </w:r>
      <w:r>
        <w:rPr>
          <w:spacing w:val="0"/>
          <w:sz w:val="20"/>
          <w:u w:val="single"/>
        </w:rPr>
        <w:t>Affected Agreement</w:t>
      </w:r>
      <w:r>
        <w:rPr>
          <w:spacing w:val="0"/>
          <w:sz w:val="20"/>
        </w:rPr>
        <w:t xml:space="preserve">” shall any Sponsor Gas Gathering Agreement have the meaning assigned to that term in </w:t>
      </w:r>
      <w:r>
        <w:rPr>
          <w:spacing w:val="0"/>
          <w:sz w:val="20"/>
          <w:u w:val="single"/>
        </w:rPr>
        <w:t>Section 8.20(w)</w:t>
      </w:r>
      <w:r>
        <w:rPr>
          <w:spacing w:val="0"/>
          <w:sz w:val="20"/>
        </w:rPr>
        <w:t>.</w:t>
      </w:r>
    </w:p>
    <w:p>
      <w:pPr>
        <w:pStyle w:val="Normal"/>
        <w:suppressAutoHyphens w:val="true"/>
        <w:spacing w:before="0" w:after="240"/>
        <w:ind w:firstLine="720" w:end="0"/>
        <w:jc w:val="both"/>
        <w:rPr/>
      </w:pPr>
      <w:r>
        <w:rPr>
          <w:spacing w:val="0"/>
          <w:sz w:val="20"/>
        </w:rPr>
        <w:t xml:space="preserve"> “</w:t>
      </w:r>
      <w:r>
        <w:rPr>
          <w:spacing w:val="0"/>
          <w:sz w:val="20"/>
          <w:u w:val="single"/>
        </w:rPr>
        <w:t>Banks</w:t>
      </w:r>
      <w:r>
        <w:rPr>
          <w:spacing w:val="0"/>
          <w:sz w:val="20"/>
        </w:rPr>
        <w:t>” shall mean the lenders party from time to time to the Credit Agreement.</w:t>
      </w:r>
    </w:p>
    <w:p>
      <w:pPr>
        <w:pStyle w:val="Normal"/>
        <w:suppressAutoHyphens w:val="true"/>
        <w:spacing w:before="0" w:after="240"/>
        <w:ind w:firstLine="720" w:end="0"/>
        <w:jc w:val="both"/>
        <w:rPr/>
      </w:pPr>
      <w:r>
        <w:rPr>
          <w:spacing w:val="0"/>
          <w:sz w:val="20"/>
        </w:rPr>
        <w:t xml:space="preserve"> “</w:t>
      </w:r>
      <w:r>
        <w:rPr>
          <w:spacing w:val="0"/>
          <w:sz w:val="20"/>
          <w:u w:val="single"/>
        </w:rPr>
        <w:t>BR</w:t>
      </w:r>
      <w:r>
        <w:rPr>
          <w:spacing w:val="0"/>
          <w:sz w:val="20"/>
        </w:rPr>
        <w:t>” shall mean Burlington Resources Inc., a Delaware corporation.</w:t>
      </w:r>
    </w:p>
    <w:p>
      <w:pPr>
        <w:pStyle w:val="Normal"/>
        <w:suppressAutoHyphens w:val="true"/>
        <w:spacing w:before="0" w:after="240"/>
        <w:ind w:firstLine="720" w:end="0"/>
        <w:jc w:val="both"/>
        <w:rPr/>
      </w:pPr>
      <w:r>
        <w:rPr>
          <w:spacing w:val="0"/>
          <w:sz w:val="20"/>
        </w:rPr>
        <w:t xml:space="preserve"> “</w:t>
      </w:r>
      <w:r>
        <w:rPr>
          <w:spacing w:val="0"/>
          <w:sz w:val="20"/>
          <w:u w:val="single"/>
        </w:rPr>
        <w:t>BRTI</w:t>
      </w:r>
      <w:r>
        <w:rPr>
          <w:spacing w:val="0"/>
          <w:sz w:val="20"/>
        </w:rPr>
        <w:t>” shall mean Burlington Resources Trading Inc., a Delaware corporation.</w:t>
      </w:r>
    </w:p>
    <w:p>
      <w:pPr>
        <w:pStyle w:val="Normal"/>
        <w:suppressAutoHyphens w:val="true"/>
        <w:ind w:firstLine="720" w:end="0"/>
        <w:jc w:val="both"/>
        <w:rPr/>
      </w:pPr>
      <w:r>
        <w:rPr>
          <w:spacing w:val="0"/>
          <w:sz w:val="20"/>
        </w:rPr>
        <w:t xml:space="preserve"> “</w:t>
      </w:r>
      <w:r>
        <w:rPr>
          <w:spacing w:val="0"/>
          <w:sz w:val="20"/>
          <w:u w:val="single"/>
        </w:rPr>
        <w:t>BRTI Consent to Assignment</w:t>
      </w:r>
      <w:r>
        <w:rPr>
          <w:spacing w:val="0"/>
          <w:sz w:val="20"/>
        </w:rPr>
        <w:t>” shall mean the Consent to Assignment, dated as of September __, 2000, between BRTI and the Administrative Agent and acknowledged by the Debtor.</w:t>
      </w:r>
    </w:p>
    <w:p>
      <w:pPr>
        <w:pStyle w:val="Normal"/>
        <w:suppressAutoHyphens w:val="true"/>
        <w:jc w:val="both"/>
        <w:rPr>
          <w:spacing w:val="0"/>
          <w:sz w:val="20"/>
        </w:rPr>
      </w:pPr>
      <w:r>
        <w:rPr>
          <w:spacing w:val="0"/>
          <w:sz w:val="20"/>
        </w:rPr>
        <w:tab/>
      </w:r>
    </w:p>
    <w:p>
      <w:pPr>
        <w:pStyle w:val="Normal"/>
        <w:spacing w:before="0" w:after="240"/>
        <w:ind w:firstLine="720" w:end="0"/>
        <w:jc w:val="both"/>
        <w:rPr/>
      </w:pPr>
      <w:r>
        <w:rPr>
          <w:spacing w:val="0"/>
          <w:sz w:val="20"/>
        </w:rPr>
        <w:t xml:space="preserve"> “</w:t>
      </w:r>
      <w:r>
        <w:rPr>
          <w:spacing w:val="0"/>
          <w:sz w:val="20"/>
          <w:u w:val="single"/>
        </w:rPr>
        <w:t>BRTI Gas Gathering Agreement</w:t>
      </w:r>
      <w:r>
        <w:rPr>
          <w:spacing w:val="0"/>
          <w:sz w:val="20"/>
        </w:rPr>
        <w:t>” shall mean the Firm Gathering Agreement, dated as of December 17, 1998, between BRTI and the Debtor, as amended by Amendment No. 1 to Firm Gathering Agreement, dated as of September 24, 1999, between BRTI and the Debtor.</w:t>
      </w:r>
    </w:p>
    <w:p>
      <w:pPr>
        <w:pStyle w:val="Normal"/>
        <w:suppressAutoHyphens w:val="true"/>
        <w:ind w:firstLine="720" w:end="0"/>
        <w:jc w:val="both"/>
        <w:rPr/>
      </w:pPr>
      <w:r>
        <w:rPr>
          <w:spacing w:val="0"/>
          <w:sz w:val="20"/>
        </w:rPr>
        <w:t xml:space="preserve"> “</w:t>
      </w:r>
      <w:r>
        <w:rPr>
          <w:spacing w:val="0"/>
          <w:sz w:val="20"/>
          <w:u w:val="single"/>
        </w:rPr>
        <w:t>Capacity Allocation and Expansion Determination Agreement</w:t>
      </w:r>
      <w:r>
        <w:rPr>
          <w:spacing w:val="0"/>
          <w:sz w:val="20"/>
        </w:rPr>
        <w:t>” shall mean the Capacity Allocation and Expansion Determination Agreement, dated as of December 17, 1998, between the Debtor, ECT-WR and BRTI.</w:t>
      </w:r>
    </w:p>
    <w:p>
      <w:pPr>
        <w:pStyle w:val="Normal"/>
        <w:suppressAutoHyphens w:val="true"/>
        <w:jc w:val="both"/>
        <w:rPr>
          <w:spacing w:val="0"/>
          <w:sz w:val="20"/>
        </w:rPr>
      </w:pPr>
      <w:r>
        <w:rPr>
          <w:spacing w:val="0"/>
          <w:sz w:val="20"/>
        </w:rPr>
        <w:tab/>
      </w:r>
    </w:p>
    <w:p>
      <w:pPr>
        <w:pStyle w:val="Normal"/>
        <w:suppressAutoHyphens w:val="true"/>
        <w:spacing w:before="0" w:after="240"/>
        <w:ind w:firstLine="720" w:end="0"/>
        <w:jc w:val="both"/>
        <w:rPr/>
      </w:pPr>
      <w:r>
        <w:rPr>
          <w:spacing w:val="0"/>
          <w:sz w:val="20"/>
        </w:rPr>
        <w:t xml:space="preserve"> “</w:t>
      </w:r>
      <w:r>
        <w:rPr>
          <w:spacing w:val="0"/>
          <w:sz w:val="20"/>
          <w:u w:val="single"/>
        </w:rPr>
        <w:t>Capital Lease Obligations</w:t>
      </w:r>
      <w:r>
        <w:rPr>
          <w:spacing w:val="0"/>
          <w:sz w:val="20"/>
        </w:rPr>
        <w:t>” shall mean, for any Person, the obligations of such Person to pay rent or other amounts under a lease of (or other agreement conveying the right to use) Property of such Person to the extent such obligations are required to be classified and accounted for as a capital lease on a balance sheet of such Person under generally accepted accounting principles and, for purposes of this Agreement, the amount of such obligations shall be the capitalized amount of such obligations, determined in accordance with generally accepted accounting principles..</w:t>
      </w:r>
    </w:p>
    <w:p>
      <w:pPr>
        <w:pStyle w:val="Normal"/>
        <w:suppressAutoHyphens w:val="true"/>
        <w:spacing w:before="0" w:after="240"/>
        <w:ind w:firstLine="720" w:end="0"/>
        <w:jc w:val="both"/>
        <w:rPr/>
      </w:pPr>
      <w:r>
        <w:rPr>
          <w:spacing w:val="0"/>
          <w:sz w:val="20"/>
        </w:rPr>
        <w:t xml:space="preserve"> “</w:t>
      </w:r>
      <w:r>
        <w:rPr>
          <w:spacing w:val="0"/>
          <w:sz w:val="20"/>
          <w:u w:val="single"/>
        </w:rPr>
        <w:t>Change Orders</w:t>
      </w:r>
      <w:r>
        <w:rPr>
          <w:spacing w:val="0"/>
          <w:sz w:val="20"/>
        </w:rPr>
        <w:t>” shall mean Change Order Number 1 dated June 8, 1999, Change Order Number 3 dated April 28, 1999, Change Order Number 4 dated June 30, 1999, Change Order Number 5 dated June 4, 1999, Change Order Number 6 dated May 18, 1999, Change Order Number 7 dated May 18, 1999, Change Order Number 8 dated July 22, 1999, Change Order Number 9 dated July 27, 1999, Change Order 10 dated August 30, 1999, Change Order Number 11 dated September 30, 1999, and any other change order approved by the Debtor pursuant to the Construction Agreement after the Closing Date.</w:t>
      </w:r>
    </w:p>
    <w:p>
      <w:pPr>
        <w:pStyle w:val="Normal"/>
        <w:suppressAutoHyphens w:val="true"/>
        <w:spacing w:before="0" w:after="240"/>
        <w:ind w:firstLine="720" w:end="0"/>
        <w:jc w:val="both"/>
        <w:rPr/>
      </w:pPr>
      <w:r>
        <w:rPr>
          <w:spacing w:val="0"/>
          <w:sz w:val="20"/>
        </w:rPr>
        <w:t xml:space="preserve"> “</w:t>
      </w:r>
      <w:r>
        <w:rPr>
          <w:spacing w:val="0"/>
          <w:sz w:val="20"/>
          <w:u w:val="single"/>
        </w:rPr>
        <w:t>Closing Date</w:t>
      </w:r>
      <w:r>
        <w:rPr>
          <w:spacing w:val="0"/>
          <w:sz w:val="20"/>
        </w:rPr>
        <w:t>” shall mean September 24, 1999.</w:t>
      </w:r>
    </w:p>
    <w:p>
      <w:pPr>
        <w:pStyle w:val="Normal"/>
        <w:suppressAutoHyphens w:val="true"/>
        <w:spacing w:before="0" w:after="240"/>
        <w:ind w:firstLine="720" w:end="0"/>
        <w:jc w:val="both"/>
        <w:rPr/>
      </w:pPr>
      <w:r>
        <w:rPr>
          <w:spacing w:val="0"/>
          <w:sz w:val="20"/>
        </w:rPr>
        <w:t xml:space="preserve"> “</w:t>
      </w:r>
      <w:r>
        <w:rPr>
          <w:spacing w:val="0"/>
          <w:sz w:val="20"/>
          <w:u w:val="single"/>
        </w:rPr>
        <w:t>Compressor/Dewpoint Site</w:t>
      </w:r>
      <w:r>
        <w:rPr>
          <w:spacing w:val="0"/>
          <w:sz w:val="20"/>
        </w:rPr>
        <w:t>” shall mean the real property located in the Sweetwater County, Wyoming described in Schedule I attached hereto, together with all existing and future easements and rights associated therewith, including those affording access to it.</w:t>
      </w:r>
    </w:p>
    <w:p>
      <w:pPr>
        <w:pStyle w:val="Normal"/>
        <w:suppressAutoHyphens w:val="true"/>
        <w:spacing w:before="0" w:after="240"/>
        <w:ind w:firstLine="720" w:end="0"/>
        <w:jc w:val="both"/>
        <w:rPr/>
      </w:pPr>
      <w:r>
        <w:rPr>
          <w:spacing w:val="0"/>
          <w:sz w:val="20"/>
        </w:rPr>
        <w:t xml:space="preserve"> “</w:t>
      </w:r>
      <w:r>
        <w:rPr>
          <w:spacing w:val="0"/>
          <w:sz w:val="20"/>
          <w:u w:val="single"/>
        </w:rPr>
        <w:t>Company Account</w:t>
      </w:r>
      <w:r>
        <w:rPr>
          <w:spacing w:val="0"/>
          <w:sz w:val="20"/>
        </w:rPr>
        <w:t xml:space="preserve">” shall mean the Company Account established by the Debtor pursuant to </w:t>
      </w:r>
      <w:r>
        <w:rPr>
          <w:spacing w:val="0"/>
          <w:sz w:val="20"/>
          <w:u w:val="single"/>
        </w:rPr>
        <w:t>Section 10.01</w:t>
      </w:r>
      <w:r>
        <w:rPr>
          <w:spacing w:val="0"/>
          <w:sz w:val="20"/>
        </w:rPr>
        <w:t xml:space="preserve"> of the Credit Agreement.</w:t>
      </w:r>
    </w:p>
    <w:p>
      <w:pPr>
        <w:pStyle w:val="Normal"/>
        <w:suppressAutoHyphens w:val="true"/>
        <w:spacing w:before="0" w:after="240"/>
        <w:ind w:firstLine="720" w:end="0"/>
        <w:jc w:val="both"/>
        <w:rPr/>
      </w:pPr>
      <w:r>
        <w:rPr>
          <w:spacing w:val="0"/>
          <w:sz w:val="20"/>
        </w:rPr>
        <w:t xml:space="preserve"> “</w:t>
      </w:r>
      <w:r>
        <w:rPr>
          <w:spacing w:val="0"/>
          <w:sz w:val="20"/>
          <w:u w:val="single"/>
        </w:rPr>
        <w:t>Construction Agreement</w:t>
      </w:r>
      <w:r>
        <w:rPr>
          <w:spacing w:val="0"/>
          <w:sz w:val="20"/>
        </w:rPr>
        <w:t>” shall mean the Guaranteed Maximum Price Construction Agreement, dated as of January 22, 1999, between the Debtor and the EPC Contractor as amended by the Agency Agreement, dated as of January 22, 1999, between the Debtor and the EPC Contractor, the letter agreement, dated February 22, 1999, between the Debtor and the EPC Contractor and the Change Orders.</w:t>
      </w:r>
    </w:p>
    <w:p>
      <w:pPr>
        <w:pStyle w:val="Normal"/>
        <w:suppressAutoHyphens w:val="true"/>
        <w:spacing w:before="0" w:after="240"/>
        <w:ind w:firstLine="720" w:end="0"/>
        <w:jc w:val="both"/>
        <w:rPr/>
      </w:pPr>
      <w:r>
        <w:rPr>
          <w:spacing w:val="0"/>
          <w:sz w:val="20"/>
        </w:rPr>
        <w:t xml:space="preserve"> “</w:t>
      </w:r>
      <w:r>
        <w:rPr>
          <w:spacing w:val="0"/>
          <w:sz w:val="20"/>
          <w:u w:val="single"/>
        </w:rPr>
        <w:t>Construction/Revenue Account</w:t>
      </w:r>
      <w:r>
        <w:rPr>
          <w:spacing w:val="0"/>
          <w:sz w:val="20"/>
        </w:rPr>
        <w:t xml:space="preserve">” shall mean the Construction/Revenue Account established by the Debtor pursuant to </w:t>
      </w:r>
      <w:r>
        <w:rPr>
          <w:spacing w:val="0"/>
          <w:sz w:val="20"/>
          <w:u w:val="single"/>
        </w:rPr>
        <w:t>Section 10.01</w:t>
      </w:r>
      <w:r>
        <w:rPr>
          <w:spacing w:val="0"/>
          <w:sz w:val="20"/>
        </w:rPr>
        <w:t xml:space="preserve"> of the Credit Agreement.</w:t>
      </w:r>
    </w:p>
    <w:p>
      <w:pPr>
        <w:pStyle w:val="Normal"/>
        <w:suppressAutoHyphens w:val="true"/>
        <w:spacing w:before="0" w:after="240"/>
        <w:ind w:firstLine="720" w:end="0"/>
        <w:jc w:val="both"/>
        <w:rPr/>
      </w:pPr>
      <w:r>
        <w:rPr>
          <w:spacing w:val="0"/>
          <w:sz w:val="20"/>
        </w:rPr>
        <w:t xml:space="preserve"> “</w:t>
      </w:r>
      <w:r>
        <w:rPr>
          <w:spacing w:val="0"/>
          <w:sz w:val="20"/>
          <w:u w:val="single"/>
        </w:rPr>
        <w:t>Credit Agreement</w:t>
      </w:r>
      <w:r>
        <w:rPr>
          <w:spacing w:val="0"/>
          <w:sz w:val="20"/>
        </w:rPr>
        <w:t>” shall mean</w:t>
      </w:r>
      <w:r>
        <w:rPr>
          <w:spacing w:val="0"/>
        </w:rPr>
        <w:t xml:space="preserve"> the </w:t>
      </w:r>
      <w:r>
        <w:rPr>
          <w:spacing w:val="0"/>
          <w:sz w:val="20"/>
        </w:rPr>
        <w:t>Construction and Term Credit Agreement, dated as of September 24, 1999, among the Debtor, the Banks, Barclays Bank PLC, as lead arranger (in such capacity, the “</w:t>
      </w:r>
      <w:r>
        <w:rPr>
          <w:spacing w:val="0"/>
          <w:sz w:val="20"/>
          <w:u w:val="single"/>
        </w:rPr>
        <w:t>Lead Arranger</w:t>
      </w:r>
      <w:r>
        <w:rPr>
          <w:spacing w:val="0"/>
          <w:sz w:val="20"/>
        </w:rPr>
        <w:t>”) and the Administrative Agent.</w:t>
      </w:r>
    </w:p>
    <w:p>
      <w:pPr>
        <w:pStyle w:val="Normal"/>
        <w:suppressAutoHyphens w:val="true"/>
        <w:spacing w:before="0" w:after="240"/>
        <w:ind w:firstLine="720" w:end="0"/>
        <w:jc w:val="both"/>
        <w:rPr/>
      </w:pPr>
      <w:r>
        <w:rPr>
          <w:spacing w:val="0"/>
          <w:sz w:val="20"/>
        </w:rPr>
        <w:t xml:space="preserve"> “</w:t>
      </w:r>
      <w:r>
        <w:rPr>
          <w:spacing w:val="0"/>
          <w:sz w:val="20"/>
          <w:u w:val="single"/>
        </w:rPr>
        <w:t>Debt Service Reserve Account</w:t>
      </w:r>
      <w:r>
        <w:rPr>
          <w:spacing w:val="0"/>
          <w:sz w:val="20"/>
        </w:rPr>
        <w:t xml:space="preserve">” shall mean the Debt Service Reserve Account established by the Debtor pursuant to </w:t>
      </w:r>
      <w:r>
        <w:rPr>
          <w:spacing w:val="0"/>
          <w:sz w:val="20"/>
          <w:u w:val="single"/>
        </w:rPr>
        <w:t>Section 10.01</w:t>
      </w:r>
      <w:r>
        <w:rPr>
          <w:spacing w:val="0"/>
          <w:sz w:val="20"/>
        </w:rPr>
        <w:t xml:space="preserve"> of the Credit Agreement. </w:t>
      </w:r>
    </w:p>
    <w:p>
      <w:pPr>
        <w:pStyle w:val="Normal"/>
        <w:suppressAutoHyphens w:val="true"/>
        <w:ind w:firstLine="720" w:end="0"/>
        <w:jc w:val="both"/>
        <w:rPr/>
      </w:pPr>
      <w:r>
        <w:rPr>
          <w:spacing w:val="0"/>
          <w:sz w:val="20"/>
        </w:rPr>
        <w:t xml:space="preserve"> “</w:t>
      </w:r>
      <w:r>
        <w:rPr>
          <w:spacing w:val="0"/>
          <w:sz w:val="20"/>
          <w:u w:val="single"/>
        </w:rPr>
        <w:t>Development</w:t>
      </w:r>
      <w:r>
        <w:rPr>
          <w:spacing w:val="0"/>
          <w:sz w:val="20"/>
        </w:rPr>
        <w:t>” shall mean the design, engineering, development, acquisition, ownership, leasing, occupation, construction, equipping, testing, repair, improvement, operation, maintenance and use of the Project and the financing of the Project.</w:t>
      </w:r>
    </w:p>
    <w:p>
      <w:pPr>
        <w:pStyle w:val="Normal"/>
        <w:suppressAutoHyphens w:val="true"/>
        <w:jc w:val="both"/>
        <w:rPr>
          <w:spacing w:val="0"/>
          <w:sz w:val="20"/>
        </w:rPr>
      </w:pPr>
      <w:r>
        <w:rPr>
          <w:spacing w:val="0"/>
          <w:sz w:val="20"/>
        </w:rPr>
        <w:tab/>
      </w:r>
    </w:p>
    <w:p>
      <w:pPr>
        <w:pStyle w:val="Normal"/>
        <w:suppressAutoHyphens w:val="true"/>
        <w:spacing w:before="0" w:after="240"/>
        <w:ind w:firstLine="720" w:end="0"/>
        <w:jc w:val="both"/>
        <w:rPr/>
      </w:pPr>
      <w:r>
        <w:rPr>
          <w:spacing w:val="0"/>
          <w:sz w:val="20"/>
        </w:rPr>
        <w:t xml:space="preserve"> “</w:t>
      </w:r>
      <w:r>
        <w:rPr>
          <w:spacing w:val="0"/>
          <w:sz w:val="20"/>
          <w:u w:val="single"/>
        </w:rPr>
        <w:t>ECT-WR</w:t>
      </w:r>
      <w:r>
        <w:rPr>
          <w:spacing w:val="0"/>
          <w:sz w:val="20"/>
        </w:rPr>
        <w:t>” shall mean ECT Wind River, L.L.C., a Delaware limited liability company.</w:t>
      </w:r>
    </w:p>
    <w:p>
      <w:pPr>
        <w:pStyle w:val="Normal"/>
        <w:suppressAutoHyphens w:val="true"/>
        <w:spacing w:before="0" w:after="240"/>
        <w:ind w:firstLine="720" w:end="0"/>
        <w:jc w:val="both"/>
        <w:rPr/>
      </w:pPr>
      <w:r>
        <w:rPr>
          <w:spacing w:val="0"/>
          <w:sz w:val="20"/>
        </w:rPr>
        <w:t xml:space="preserve"> “</w:t>
      </w:r>
      <w:r>
        <w:rPr>
          <w:spacing w:val="0"/>
          <w:sz w:val="20"/>
          <w:u w:val="single"/>
        </w:rPr>
        <w:t>ECT-WR Consent to Assignment</w:t>
      </w:r>
      <w:r>
        <w:rPr>
          <w:spacing w:val="0"/>
          <w:sz w:val="20"/>
        </w:rPr>
        <w:t>” shall mean the Consent to Assignment, dated as of September __, 2000 between ECT-WR and the Administrative Agent and acknowledged by the Debtor.</w:t>
      </w:r>
    </w:p>
    <w:p>
      <w:pPr>
        <w:pStyle w:val="Normal"/>
        <w:suppressAutoHyphens w:val="true"/>
        <w:spacing w:before="0" w:after="240"/>
        <w:ind w:firstLine="720" w:end="0"/>
        <w:jc w:val="both"/>
        <w:rPr/>
      </w:pPr>
      <w:r>
        <w:rPr>
          <w:spacing w:val="0"/>
          <w:sz w:val="20"/>
        </w:rPr>
        <w:t xml:space="preserve"> “</w:t>
      </w:r>
      <w:r>
        <w:rPr>
          <w:spacing w:val="0"/>
          <w:sz w:val="20"/>
          <w:u w:val="single"/>
        </w:rPr>
        <w:t>ENA</w:t>
      </w:r>
      <w:r>
        <w:rPr>
          <w:spacing w:val="0"/>
          <w:sz w:val="20"/>
        </w:rPr>
        <w:t>” shall mean Enron North America Corp., a Delaware corporation.</w:t>
      </w:r>
    </w:p>
    <w:p>
      <w:pPr>
        <w:pStyle w:val="Normal"/>
        <w:suppressAutoHyphens w:val="true"/>
        <w:spacing w:before="0" w:after="240"/>
        <w:ind w:firstLine="720" w:end="0"/>
        <w:jc w:val="both"/>
        <w:rPr/>
      </w:pPr>
      <w:r>
        <w:rPr>
          <w:spacing w:val="0"/>
          <w:sz w:val="20"/>
        </w:rPr>
        <w:t xml:space="preserve"> “</w:t>
      </w:r>
      <w:r>
        <w:rPr>
          <w:spacing w:val="0"/>
          <w:sz w:val="20"/>
          <w:u w:val="single"/>
        </w:rPr>
        <w:t>ENA Consent to Assignment</w:t>
      </w:r>
      <w:r>
        <w:rPr>
          <w:spacing w:val="0"/>
          <w:sz w:val="20"/>
        </w:rPr>
        <w:t>” shall mean the Consent to Assignment, dated as of September __, 2000 between ENA and the Administrative Agent and acknowledged by the Debtor.</w:t>
      </w:r>
    </w:p>
    <w:p>
      <w:pPr>
        <w:pStyle w:val="Normal"/>
        <w:suppressAutoHyphens w:val="true"/>
        <w:spacing w:before="0" w:after="240"/>
        <w:ind w:firstLine="720" w:end="0"/>
        <w:jc w:val="both"/>
        <w:rPr/>
      </w:pPr>
      <w:r>
        <w:rPr>
          <w:spacing w:val="0"/>
          <w:sz w:val="20"/>
        </w:rPr>
        <w:t xml:space="preserve"> “</w:t>
      </w:r>
      <w:r>
        <w:rPr>
          <w:spacing w:val="0"/>
          <w:sz w:val="20"/>
          <w:u w:val="single"/>
        </w:rPr>
        <w:t>ENA Gas Gathering Agreement</w:t>
      </w:r>
      <w:r>
        <w:rPr>
          <w:spacing w:val="0"/>
          <w:sz w:val="20"/>
        </w:rPr>
        <w:t>” shall mean the Firm Gathering Agreement, dated as of December 17, 1998, between ENA and the Debtor, as amended by Amendment No. 1 to Firm Gathering Agreement, dated as of September 24, 1999, between ENA and the Debtor.</w:t>
      </w:r>
    </w:p>
    <w:p>
      <w:pPr>
        <w:pStyle w:val="Normal"/>
        <w:suppressAutoHyphens w:val="true"/>
        <w:spacing w:before="0" w:after="240"/>
        <w:ind w:firstLine="720" w:end="0"/>
        <w:jc w:val="both"/>
        <w:rPr/>
      </w:pPr>
      <w:r>
        <w:rPr>
          <w:spacing w:val="0"/>
          <w:sz w:val="20"/>
        </w:rPr>
        <w:t xml:space="preserve"> “</w:t>
      </w:r>
      <w:r>
        <w:rPr>
          <w:spacing w:val="0"/>
          <w:sz w:val="20"/>
          <w:u w:val="single"/>
        </w:rPr>
        <w:t>Enron</w:t>
      </w:r>
      <w:r>
        <w:rPr>
          <w:spacing w:val="0"/>
          <w:sz w:val="20"/>
        </w:rPr>
        <w:t>” shall mean Enron Corp., an Oregon corporation.</w:t>
      </w:r>
    </w:p>
    <w:p>
      <w:pPr>
        <w:pStyle w:val="Normal"/>
        <w:spacing w:before="0" w:after="240"/>
        <w:ind w:firstLine="720" w:end="0"/>
        <w:jc w:val="both"/>
        <w:rPr/>
      </w:pPr>
      <w:r>
        <w:rPr>
          <w:spacing w:val="0"/>
          <w:sz w:val="20"/>
        </w:rPr>
        <w:t xml:space="preserve"> “</w:t>
      </w:r>
      <w:r>
        <w:rPr>
          <w:spacing w:val="0"/>
          <w:sz w:val="20"/>
          <w:u w:val="single"/>
        </w:rPr>
        <w:t>EPC Contractor</w:t>
      </w:r>
      <w:r>
        <w:rPr>
          <w:spacing w:val="0"/>
          <w:sz w:val="20"/>
        </w:rPr>
        <w:t>” shall mean Merrick &amp; Company, a Colorado corporation, in its capacity as “Contractor” under the Construction Agreement acting with respect to the construction of the Project.</w:t>
      </w:r>
    </w:p>
    <w:p>
      <w:pPr>
        <w:pStyle w:val="Normal"/>
        <w:spacing w:before="0" w:after="240"/>
        <w:ind w:firstLine="720" w:end="0"/>
        <w:jc w:val="both"/>
        <w:rPr>
          <w:spacing w:val="0"/>
        </w:rPr>
      </w:pPr>
      <w:r>
        <w:rPr>
          <w:spacing w:val="0"/>
          <w:sz w:val="20"/>
        </w:rPr>
        <w:t xml:space="preserve"> “</w:t>
      </w:r>
      <w:r>
        <w:rPr>
          <w:spacing w:val="0"/>
          <w:sz w:val="20"/>
          <w:u w:val="single"/>
        </w:rPr>
        <w:t>EPC Contractor Consent to Assignment</w:t>
      </w:r>
      <w:r>
        <w:rPr>
          <w:spacing w:val="0"/>
          <w:sz w:val="20"/>
        </w:rPr>
        <w:t>” shall mean the Consent to Assignment, dated as of September ____, 2000 between the EPC Contractor and the Administrative Agent and acknowledged by the Debtor.</w:t>
      </w:r>
    </w:p>
    <w:p>
      <w:pPr>
        <w:pStyle w:val="Normal"/>
        <w:suppressAutoHyphens w:val="true"/>
        <w:spacing w:before="0" w:after="240"/>
        <w:ind w:firstLine="720" w:end="0"/>
        <w:jc w:val="both"/>
        <w:rPr/>
      </w:pPr>
      <w:r>
        <w:rPr>
          <w:spacing w:val="0"/>
          <w:sz w:val="20"/>
        </w:rPr>
        <w:t xml:space="preserve"> “</w:t>
      </w:r>
      <w:r>
        <w:rPr>
          <w:spacing w:val="0"/>
          <w:sz w:val="20"/>
          <w:u w:val="single"/>
        </w:rPr>
        <w:t>Event of Loss</w:t>
      </w:r>
      <w:r>
        <w:rPr>
          <w:spacing w:val="0"/>
          <w:sz w:val="20"/>
        </w:rPr>
        <w:t>” shall mean any theft or other loss of, destruction of or damage to, or any condemnation or other taking of, any Property of the Debtor.</w:t>
      </w:r>
    </w:p>
    <w:p>
      <w:pPr>
        <w:pStyle w:val="Normal"/>
        <w:suppressAutoHyphens w:val="true"/>
        <w:spacing w:before="0" w:after="240"/>
        <w:ind w:firstLine="720" w:end="0"/>
        <w:jc w:val="both"/>
        <w:rPr/>
      </w:pPr>
      <w:r>
        <w:rPr>
          <w:spacing w:val="0"/>
          <w:sz w:val="20"/>
        </w:rPr>
        <w:t xml:space="preserve"> “</w:t>
      </w:r>
      <w:r>
        <w:rPr>
          <w:spacing w:val="0"/>
          <w:sz w:val="20"/>
          <w:u w:val="single"/>
        </w:rPr>
        <w:t>Facilities</w:t>
      </w:r>
      <w:r>
        <w:rPr>
          <w:spacing w:val="0"/>
          <w:sz w:val="20"/>
        </w:rPr>
        <w:t xml:space="preserve">” </w:t>
      </w:r>
      <w:r>
        <w:rPr>
          <w:spacing w:val="0"/>
        </w:rPr>
        <w:t>s</w:t>
      </w:r>
      <w:r>
        <w:rPr>
          <w:spacing w:val="0"/>
          <w:sz w:val="20"/>
        </w:rPr>
        <w:t>hall mean the Debtor’s gas gathering pipeline system consisting of approximately 121.5 miles of twenty-four (24) inch pipe and approximately 42.1 miles of twelve (12) inch pipe to be located in Fremont and Sweetwater Counties, Wyoming and shall include all facilities, properties, equipment, systems, structures and components to be constructed in connection therewith in accordance with the requirements and specifications set forth or referred to in the Construction Agreement and all expansions and extensions thereto contemplated by the Operating Agreement and the Capacity Allocation and Expansion Determination Agreement that the Debtor and the Administrative Agent agree shall be financed by the Banks pursuant to the Credit Agreement (but without prejudice to the right of the Debtor to otherwise construct, own and operate such expansions and extensions or of any other Person to construct, finance, own and operate extensions and expansions pursuant to or as contemplated by the Capacity Allocation and Expansion Determination Agreement).</w:t>
      </w:r>
    </w:p>
    <w:p>
      <w:pPr>
        <w:pStyle w:val="Normal"/>
        <w:suppressAutoHyphens w:val="true"/>
        <w:spacing w:before="0" w:after="240"/>
        <w:ind w:firstLine="720" w:end="0"/>
        <w:jc w:val="both"/>
        <w:rPr/>
      </w:pPr>
      <w:r>
        <w:rPr>
          <w:spacing w:val="0"/>
          <w:sz w:val="20"/>
        </w:rPr>
        <w:t xml:space="preserve"> “</w:t>
      </w:r>
      <w:r>
        <w:rPr>
          <w:spacing w:val="0"/>
          <w:sz w:val="20"/>
          <w:u w:val="single"/>
        </w:rPr>
        <w:t>Field Operator</w:t>
      </w:r>
      <w:r>
        <w:rPr>
          <w:spacing w:val="0"/>
          <w:sz w:val="20"/>
        </w:rPr>
        <w:t>” shall have the meaning ascribed to that term in the Operation and Maintenance Agreement.</w:t>
      </w:r>
    </w:p>
    <w:p>
      <w:pPr>
        <w:pStyle w:val="Normal"/>
        <w:suppressAutoHyphens w:val="true"/>
        <w:spacing w:before="0" w:after="240"/>
        <w:ind w:firstLine="720" w:end="0"/>
        <w:jc w:val="both"/>
        <w:rPr/>
      </w:pPr>
      <w:r>
        <w:rPr>
          <w:spacing w:val="0"/>
          <w:sz w:val="20"/>
        </w:rPr>
        <w:t xml:space="preserve"> “</w:t>
      </w:r>
      <w:r>
        <w:rPr>
          <w:spacing w:val="0"/>
          <w:sz w:val="20"/>
          <w:u w:val="single"/>
        </w:rPr>
        <w:t>Funding Year</w:t>
      </w:r>
      <w:r>
        <w:rPr>
          <w:spacing w:val="0"/>
          <w:sz w:val="20"/>
        </w:rPr>
        <w:t>” shall mean the period commencing on the first day of each fiscal year of the Debtor through and including the last day of such fiscal year.</w:t>
      </w:r>
    </w:p>
    <w:p>
      <w:pPr>
        <w:pStyle w:val="Normal"/>
        <w:suppressAutoHyphens w:val="true"/>
        <w:spacing w:before="0" w:after="240"/>
        <w:ind w:firstLine="720" w:end="0"/>
        <w:jc w:val="both"/>
        <w:rPr/>
      </w:pPr>
      <w:r>
        <w:rPr>
          <w:spacing w:val="0"/>
          <w:sz w:val="20"/>
        </w:rPr>
        <w:t xml:space="preserve"> “</w:t>
      </w:r>
      <w:r>
        <w:rPr>
          <w:spacing w:val="0"/>
          <w:sz w:val="20"/>
          <w:u w:val="single"/>
        </w:rPr>
        <w:t>Government Approval</w:t>
      </w:r>
      <w:r>
        <w:rPr>
          <w:spacing w:val="0"/>
          <w:sz w:val="20"/>
        </w:rPr>
        <w:t>” shall mean (a) any authorization, consent, approval, license, lease, ruling, permit, tariff, rate, certification, waiver, exemption, filing, variance, claim, order, judgment or decree of, by or with, (b) any required notice to, (c) any declaration of or with, or (d) any registration by or with, any Government Authority.</w:t>
      </w:r>
    </w:p>
    <w:p>
      <w:pPr>
        <w:pStyle w:val="Normal"/>
        <w:suppressAutoHyphens w:val="true"/>
        <w:spacing w:before="0" w:after="240"/>
        <w:ind w:firstLine="720" w:end="0"/>
        <w:jc w:val="both"/>
        <w:rPr/>
      </w:pPr>
      <w:r>
        <w:rPr>
          <w:spacing w:val="0"/>
          <w:sz w:val="20"/>
        </w:rPr>
        <w:t xml:space="preserve"> “</w:t>
      </w:r>
      <w:r>
        <w:rPr>
          <w:spacing w:val="0"/>
          <w:sz w:val="20"/>
          <w:u w:val="single"/>
        </w:rPr>
        <w:t>Government Authority</w:t>
      </w:r>
      <w:r>
        <w:rPr>
          <w:spacing w:val="0"/>
          <w:sz w:val="20"/>
        </w:rPr>
        <w:t>” shall mean any United States Federal, state, municipal, local, territorial, or other governmental department, commission, board, bureau, agency, regulatory authority, instrumentality, judicial or administrative body.</w:t>
      </w:r>
    </w:p>
    <w:p>
      <w:pPr>
        <w:pStyle w:val="Normal"/>
        <w:suppressAutoHyphens w:val="true"/>
        <w:spacing w:before="0" w:after="480"/>
        <w:ind w:firstLine="720" w:end="0"/>
        <w:jc w:val="both"/>
        <w:rPr/>
      </w:pPr>
      <w:r>
        <w:rPr>
          <w:spacing w:val="0"/>
          <w:sz w:val="20"/>
        </w:rPr>
        <w:t xml:space="preserve"> “</w:t>
      </w:r>
      <w:r>
        <w:rPr>
          <w:spacing w:val="0"/>
          <w:sz w:val="20"/>
          <w:u w:val="single"/>
        </w:rPr>
        <w:t>Government Rule</w:t>
      </w:r>
      <w:r>
        <w:rPr>
          <w:spacing w:val="0"/>
          <w:sz w:val="20"/>
        </w:rPr>
        <w:t>” shall mean any binding, statute, law, regulation, ordinance, rule, judgment, order, decree, permit, concession, grant, franchise, license, agreement, directive, requirement of, or other governmental restriction or any similar binding form of decision of or determination by, or any binding interpretation or administration of any of the foregoing by, any Government Authority, whether now or hereafter in effect.</w:t>
      </w:r>
    </w:p>
    <w:p>
      <w:pPr>
        <w:pStyle w:val="Normal"/>
        <w:suppressAutoHyphens w:val="true"/>
        <w:spacing w:before="0" w:after="240"/>
        <w:ind w:firstLine="720" w:end="0"/>
        <w:jc w:val="both"/>
        <w:rPr/>
      </w:pPr>
      <w:r>
        <w:rPr>
          <w:spacing w:val="0"/>
          <w:sz w:val="20"/>
        </w:rPr>
        <w:t xml:space="preserve"> “</w:t>
      </w:r>
      <w:r>
        <w:rPr>
          <w:spacing w:val="0"/>
          <w:sz w:val="20"/>
          <w:u w:val="single"/>
        </w:rPr>
        <w:t>Guarantee</w:t>
      </w:r>
      <w:r>
        <w:rPr>
          <w:spacing w:val="0"/>
          <w:sz w:val="20"/>
        </w:rPr>
        <w:t>” shall mean a guarantee, an endorsement, a contingent agreement to purchase or to furnish funds for the payment or maintenance of, or otherwise to be or become contingently liable under or with respect to, the Indebtedness, other obligations, net worth, working capital or earnings of any Person, or a guarantee of the payment of dividends or other distributions upon the stock or equity interests of any Person, or an agreement to purchase, sell or lease (as lessee or lessor) Property of any Person, products, materials, supplies or services primarily for the purpose of enabling a debtor to make payment of his, her or its obligations or an agreement to assure a creditor against loss, and including causing a bank or other financial institution to issue a letter of credit or other similar instrument for the benefit of another Person, but excluding endorsements for collection or deposit in the ordinary course</w:t>
      </w:r>
      <w:r>
        <w:rPr>
          <w:spacing w:val="0"/>
        </w:rPr>
        <w:t xml:space="preserve"> </w:t>
      </w:r>
      <w:r>
        <w:rPr>
          <w:spacing w:val="0"/>
          <w:sz w:val="20"/>
        </w:rPr>
        <w:t>of business</w:t>
      </w:r>
      <w:r>
        <w:rPr>
          <w:spacing w:val="0"/>
        </w:rPr>
        <w:t xml:space="preserve"> </w:t>
      </w:r>
      <w:r>
        <w:rPr>
          <w:spacing w:val="0"/>
          <w:sz w:val="20"/>
        </w:rPr>
        <w:t>and</w:t>
      </w:r>
      <w:r>
        <w:rPr>
          <w:spacing w:val="0"/>
        </w:rPr>
        <w:t xml:space="preserve"> </w:t>
      </w:r>
      <w:r>
        <w:rPr>
          <w:spacing w:val="0"/>
          <w:sz w:val="20"/>
        </w:rPr>
        <w:t>trade letters of credit issued or obtained in the ordinary course of business.  The terms “</w:t>
      </w:r>
      <w:r>
        <w:rPr>
          <w:spacing w:val="0"/>
          <w:sz w:val="20"/>
          <w:u w:val="single"/>
        </w:rPr>
        <w:t>Guarantee</w:t>
      </w:r>
      <w:r>
        <w:rPr>
          <w:spacing w:val="0"/>
          <w:sz w:val="20"/>
        </w:rPr>
        <w:t>” and “</w:t>
      </w:r>
      <w:r>
        <w:rPr>
          <w:spacing w:val="0"/>
          <w:sz w:val="20"/>
          <w:u w:val="single"/>
        </w:rPr>
        <w:t>Guaranteed</w:t>
      </w:r>
      <w:r>
        <w:rPr>
          <w:spacing w:val="0"/>
          <w:sz w:val="20"/>
        </w:rPr>
        <w:t>” used as verbs shall have correlative meanings.</w:t>
      </w:r>
    </w:p>
    <w:p>
      <w:pPr>
        <w:pStyle w:val="Normal"/>
        <w:suppressAutoHyphens w:val="true"/>
        <w:spacing w:before="0" w:after="240"/>
        <w:ind w:firstLine="720" w:end="0"/>
        <w:jc w:val="both"/>
        <w:rPr/>
      </w:pPr>
      <w:r>
        <w:rPr>
          <w:spacing w:val="0"/>
          <w:sz w:val="20"/>
        </w:rPr>
        <w:t xml:space="preserve"> “</w:t>
      </w:r>
      <w:r>
        <w:rPr>
          <w:spacing w:val="0"/>
          <w:sz w:val="20"/>
          <w:u w:val="single"/>
        </w:rPr>
        <w:t>Indebtedness</w:t>
      </w:r>
      <w:r>
        <w:rPr>
          <w:spacing w:val="0"/>
          <w:sz w:val="20"/>
        </w:rPr>
        <w:t xml:space="preserve">” shall mean, for any Person: (a) indebtedness created, issued or incurred by such Person for borrowed money (whether by loan or the issuance and sale of debt securities or the sale of Property of such Person to another Person subject to an understanding or agreement, contingent or otherwise, to repurchase such Property of such Person from such Person), (b) obligations of such Person to pay the deferred purchase or acquisition price of Property of such Person or services, (c) reimbursement obligations of such Person in respect of letters of credit or similar instruments issued or accepted by banks and other financial institutions for the account of such Person, (d) reimbursement obligations of such Person in respect of surety bonds or similar instruments, (e) indebtedness of others described in clauses (a) through (d) above secured by a Lien on the Property of such Person, whether or not the respective indebtedness so secured has been assumed by such Person, (f) Capital Lease Obligations of such Person and (g) indebtedness of others described in clauses (a) through (f) above Guaranteed by such Person.  “Indebtedness” shall not include trade accounts payable (not to exceed after the Term Conversion Date $500,000 in the aggregate outstanding at any time other than for borrowed money) arising, and accrued expenses incurred, in the ordinary course of business so long as such trade accounts payable are stated to be payable within one hundred twenty (120) days of the date the respective goods are delivered or the respective services are rendered and </w:t>
      </w:r>
      <w:r>
        <w:rPr>
          <w:spacing w:val="0"/>
        </w:rPr>
        <w:t xml:space="preserve"> </w:t>
      </w:r>
      <w:r>
        <w:rPr>
          <w:spacing w:val="0"/>
          <w:sz w:val="20"/>
        </w:rPr>
        <w:t>(unless such trade accounts payable are being contested in good faith and by appropriate legal, administrative or other proceedings diligently conducted and so long as adequate reserves have been established with respect thereto in accordance with generally accepted accounting principles, and only if the failure to pay such accounts payable would not reasonably be expected to have a Material Adverse Effect) are not more than ninety (90) days past due.</w:t>
      </w:r>
    </w:p>
    <w:p>
      <w:pPr>
        <w:pStyle w:val="Normal"/>
        <w:suppressAutoHyphens w:val="true"/>
        <w:spacing w:before="0" w:after="240"/>
        <w:ind w:firstLine="720" w:end="0"/>
        <w:jc w:val="both"/>
        <w:rPr/>
      </w:pPr>
      <w:r>
        <w:rPr>
          <w:spacing w:val="0"/>
          <w:sz w:val="20"/>
        </w:rPr>
        <w:t xml:space="preserve"> “</w:t>
      </w:r>
      <w:r>
        <w:rPr>
          <w:spacing w:val="0"/>
          <w:sz w:val="20"/>
          <w:u w:val="single"/>
        </w:rPr>
        <w:t>Interest Account</w:t>
      </w:r>
      <w:r>
        <w:rPr>
          <w:spacing w:val="0"/>
          <w:sz w:val="20"/>
        </w:rPr>
        <w:t>” shall mean the Interest Account established by the Debtor pursuant to Section 10.01 of the Credit Agreement.</w:t>
      </w:r>
    </w:p>
    <w:p>
      <w:pPr>
        <w:pStyle w:val="Normal"/>
        <w:suppressAutoHyphens w:val="true"/>
        <w:spacing w:before="0" w:after="240"/>
        <w:ind w:firstLine="720" w:end="0"/>
        <w:jc w:val="both"/>
        <w:rPr/>
      </w:pPr>
      <w:r>
        <w:rPr>
          <w:spacing w:val="0"/>
          <w:sz w:val="20"/>
        </w:rPr>
        <w:t xml:space="preserve"> “</w:t>
      </w:r>
      <w:r>
        <w:rPr>
          <w:spacing w:val="0"/>
          <w:sz w:val="20"/>
          <w:u w:val="single"/>
        </w:rPr>
        <w:t>Investment</w:t>
      </w:r>
      <w:r>
        <w:rPr>
          <w:spacing w:val="0"/>
          <w:sz w:val="20"/>
        </w:rPr>
        <w:t>” shall mean, for any Person: (a) the acquisition by such Person for cash or other Property of such Person, services provided by such Person or Indebtedness of such Person of capital stock, bonds, notes, debentures, partnership or other ownership interests or other securities of any other Person or any agreement to make any such acquisition (including any “short sale” or any sale of any securities at a time when such securities are not owned by the Person entering into such short sale), (b) the making of any deposit with, or advance, loan or other extension of credit to, any other Person (including the purchase of Property from another Person subject to an understanding or agreement, contingent or otherwise, to resell such Property to such Person, but excluding any such advance, loan or extension of credit having a term not exceeding one hundred twenty (120) days representing the purchase price of inventory, spare or replacement parts or other supplies sold or used in the ordinary course of business), (c) the entering into of any Guarantee of, or other contingent obligation with respect to, Indebtedness or other liability of any other Person (other than endorsements of instruments for deposit or collection in the ordinary course of business) and (without duplication) any amount committed to be advanced, lent or extended to such Person and (d) the entering into of any Permitted Swap Agreement.</w:t>
      </w:r>
    </w:p>
    <w:p>
      <w:pPr>
        <w:pStyle w:val="Normal"/>
        <w:suppressAutoHyphens w:val="true"/>
        <w:spacing w:before="0" w:after="240"/>
        <w:ind w:firstLine="720" w:end="0"/>
        <w:jc w:val="both"/>
        <w:rPr/>
      </w:pPr>
      <w:r>
        <w:rPr>
          <w:spacing w:val="0"/>
          <w:sz w:val="20"/>
        </w:rPr>
        <w:t xml:space="preserve"> “</w:t>
      </w:r>
      <w:r>
        <w:rPr>
          <w:spacing w:val="0"/>
          <w:sz w:val="20"/>
          <w:u w:val="single"/>
        </w:rPr>
        <w:t>Lien</w:t>
      </w:r>
      <w:r>
        <w:rPr>
          <w:spacing w:val="0"/>
          <w:sz w:val="20"/>
        </w:rPr>
        <w:t>” shall mean, with respect to any Property of any Person, any mortgage, lien, pledge, charge, lease, easement, servitude, security interest or encumbrance of any kind in respect of such Property of such Person.  For purposes of this Agreement and the other basic documents, a Person shall be deemed to own subject to a Lien any Property which it has acquired or holds subject to the interest of a vendor or lessor under any conditional sale agreement, capital lease or other title retention agreement (other than an operating lease) relating to such Property.</w:t>
      </w:r>
    </w:p>
    <w:p>
      <w:pPr>
        <w:pStyle w:val="Normal"/>
        <w:suppressAutoHyphens w:val="true"/>
        <w:spacing w:before="0" w:after="240"/>
        <w:ind w:firstLine="720" w:end="0"/>
        <w:jc w:val="both"/>
        <w:rPr/>
      </w:pPr>
      <w:r>
        <w:rPr>
          <w:spacing w:val="0"/>
          <w:sz w:val="20"/>
        </w:rPr>
        <w:t xml:space="preserve"> “</w:t>
      </w:r>
      <w:r>
        <w:rPr>
          <w:spacing w:val="0"/>
          <w:sz w:val="20"/>
          <w:u w:val="single"/>
        </w:rPr>
        <w:t>Loss Proceeds</w:t>
      </w:r>
      <w:r>
        <w:rPr>
          <w:spacing w:val="0"/>
          <w:sz w:val="20"/>
        </w:rPr>
        <w:t>” shall mean insurance proceeds, condemnation awards or other compensation, awards, damages and other payments or relief (exclusive, in each case, of the proceeds of liability insurance and business interruption insurance and other payments for interruption of operations) with respect to any Event of Loss.</w:t>
      </w:r>
    </w:p>
    <w:p>
      <w:pPr>
        <w:pStyle w:val="Normal"/>
        <w:suppressAutoHyphens w:val="true"/>
        <w:spacing w:before="0" w:after="240"/>
        <w:ind w:firstLine="720" w:end="0"/>
        <w:jc w:val="both"/>
        <w:rPr/>
      </w:pPr>
      <w:r>
        <w:rPr>
          <w:spacing w:val="0"/>
          <w:sz w:val="20"/>
        </w:rPr>
        <w:t xml:space="preserve"> “</w:t>
      </w:r>
      <w:r>
        <w:rPr>
          <w:spacing w:val="0"/>
          <w:sz w:val="20"/>
          <w:u w:val="single"/>
        </w:rPr>
        <w:t>Loss Proceeds Account</w:t>
      </w:r>
      <w:r>
        <w:rPr>
          <w:spacing w:val="0"/>
          <w:sz w:val="20"/>
        </w:rPr>
        <w:t>” shall mean the Loss Proceeds Account established by the Debtor pursuant to Section 10.01 of the Credit Agreement.</w:t>
      </w:r>
    </w:p>
    <w:p>
      <w:pPr>
        <w:pStyle w:val="Normal"/>
        <w:suppressAutoHyphens w:val="true"/>
        <w:spacing w:before="0" w:after="240"/>
        <w:ind w:firstLine="720" w:end="0"/>
        <w:jc w:val="both"/>
        <w:rPr/>
      </w:pPr>
      <w:r>
        <w:rPr>
          <w:spacing w:val="0"/>
          <w:sz w:val="20"/>
        </w:rPr>
        <w:t xml:space="preserve"> “</w:t>
      </w:r>
      <w:r>
        <w:rPr>
          <w:spacing w:val="0"/>
          <w:sz w:val="20"/>
          <w:u w:val="single"/>
        </w:rPr>
        <w:t>Material Adverse Effect</w:t>
      </w:r>
      <w:r>
        <w:rPr>
          <w:spacing w:val="0"/>
          <w:sz w:val="20"/>
        </w:rPr>
        <w:t>” shall mean a material adverse effect on the financial condition or operations of the Debtor.</w:t>
      </w:r>
    </w:p>
    <w:p>
      <w:pPr>
        <w:pStyle w:val="Normal"/>
        <w:suppressAutoHyphens w:val="true"/>
        <w:spacing w:before="0" w:after="240"/>
        <w:ind w:firstLine="720" w:end="0"/>
        <w:jc w:val="both"/>
        <w:rPr/>
      </w:pPr>
      <w:r>
        <w:rPr>
          <w:spacing w:val="0"/>
          <w:sz w:val="20"/>
        </w:rPr>
        <w:t xml:space="preserve"> “</w:t>
      </w:r>
      <w:r>
        <w:rPr>
          <w:spacing w:val="0"/>
          <w:sz w:val="20"/>
          <w:u w:val="single"/>
        </w:rPr>
        <w:t>Members</w:t>
      </w:r>
      <w:r>
        <w:rPr>
          <w:spacing w:val="0"/>
          <w:sz w:val="20"/>
        </w:rPr>
        <w:t>” shall mean BRTI, ECT-WR, and other members of the Debtor from time to time.</w:t>
      </w:r>
    </w:p>
    <w:p>
      <w:pPr>
        <w:pStyle w:val="Normal"/>
        <w:suppressAutoHyphens w:val="true"/>
        <w:spacing w:before="0" w:after="240"/>
        <w:ind w:firstLine="720" w:end="0"/>
        <w:jc w:val="both"/>
        <w:rPr/>
      </w:pPr>
      <w:r>
        <w:rPr>
          <w:spacing w:val="0"/>
          <w:sz w:val="20"/>
        </w:rPr>
        <w:t xml:space="preserve"> “</w:t>
      </w:r>
      <w:r>
        <w:rPr>
          <w:spacing w:val="0"/>
          <w:sz w:val="20"/>
          <w:u w:val="single"/>
        </w:rPr>
        <w:t>Moody’s</w:t>
      </w:r>
      <w:r>
        <w:rPr>
          <w:spacing w:val="0"/>
          <w:sz w:val="20"/>
        </w:rPr>
        <w:t>” shall mean Moody’s Investors Service, Inc.</w:t>
      </w:r>
    </w:p>
    <w:p>
      <w:pPr>
        <w:pStyle w:val="Normal"/>
        <w:suppressAutoHyphens w:val="true"/>
        <w:spacing w:before="0" w:after="240"/>
        <w:ind w:firstLine="720" w:end="0"/>
        <w:jc w:val="both"/>
        <w:rPr/>
      </w:pPr>
      <w:r>
        <w:rPr>
          <w:spacing w:val="0"/>
          <w:sz w:val="20"/>
        </w:rPr>
        <w:t xml:space="preserve"> “</w:t>
      </w:r>
      <w:r>
        <w:rPr>
          <w:spacing w:val="0"/>
          <w:sz w:val="20"/>
          <w:u w:val="single"/>
        </w:rPr>
        <w:t>Non-Material Project Contracts</w:t>
      </w:r>
      <w:r>
        <w:rPr>
          <w:spacing w:val="0"/>
          <w:sz w:val="20"/>
        </w:rPr>
        <w:t>” shall mean (a) contracts or agreements entered into by the Debtor in the ordinary course of business in connection with the Development of the Project under which the Debtor shall have obligations to make payments aggregating not in excess of (i) $5,000,000 as to all such agreements in any fiscal year of the Debtor or (ii) $2,000,000 under any such agreement, (b) contracts or agreements that provide for purchase of spare parts and related services (if any), have a term of less than one (1) year and payments under which are provided for in the applicable Operating Budget,</w:t>
      </w:r>
      <w:r>
        <w:rPr>
          <w:b/>
          <w:spacing w:val="0"/>
          <w:sz w:val="20"/>
        </w:rPr>
        <w:t xml:space="preserve"> </w:t>
      </w:r>
      <w:r>
        <w:rPr>
          <w:spacing w:val="0"/>
          <w:sz w:val="20"/>
        </w:rPr>
        <w:t>(c) Additional Gas Gathering Agreements, (d) the Capacity Allocation and Expansion Determination Agreement, (e) the Operation and Maintenance Agreement, (f) the Project Manager Letter Agreement, (g) any contract or agreement entered into by the Debtor for legal, accounting, engineering, environmental consulting or other professional services in connection with the Development of the Project, (h) any interconnection, compression or measurement agreements entered into by the Debtor in connection with the Development of the Project, (i) the Guaranty, dated as of December 17, 1998, by Enron in favor of the Debtor, (j) the Guaranty, dated as of December 17, 1998, by BR in favor of the Debtor, and (k) the Pipe Contract.  Notwithstanding the foregoing, contracts or agreements customarily used in connection with the acquisition of the following Investments shall be deemed to be Non-Material Project Contracts:</w:t>
      </w:r>
    </w:p>
    <w:p>
      <w:pPr>
        <w:pStyle w:val="BlockText"/>
        <w:rPr/>
      </w:pPr>
      <w:r>
        <w:rPr/>
        <w:t xml:space="preserve">(u) </w:t>
        <w:tab/>
        <w:t xml:space="preserve">cash and direct obligations of the United States, or of any agency of the United States, or obligations guaranteed as to principal and interest by the United States or any agency of the United States, maturing in not more than 90 days from the date of acquisition by the Debtor, </w:t>
      </w:r>
    </w:p>
    <w:p>
      <w:pPr>
        <w:pStyle w:val="BlockText"/>
        <w:rPr/>
      </w:pPr>
      <w:r>
        <w:rPr/>
        <w:t xml:space="preserve">(v) </w:t>
        <w:tab/>
        <w:t xml:space="preserve">certificates of deposit issued by any Acceptable Bank maturing in not more than 90 days from the date of acquisition by the Debtor, </w:t>
      </w:r>
    </w:p>
    <w:p>
      <w:pPr>
        <w:pStyle w:val="BlockText"/>
        <w:rPr/>
      </w:pPr>
      <w:r>
        <w:rPr/>
        <w:t xml:space="preserve">(w) </w:t>
        <w:tab/>
        <w:t>commercial paper rated (on the date of acquisition by the Debtor) A</w:t>
        <w:noBreakHyphen/>
        <w:t>1 or P</w:t>
        <w:noBreakHyphen/>
        <w:t xml:space="preserve">1 by S&amp;P or Moody’s, respectively (or an equivalent rating by another nationally recognized statistical rating organization of similar standing if neither of such corporations is then in the business of rating commercial paper), maturing in not more than ninety (90) days from the date of acquisition by the Debtor, </w:t>
      </w:r>
    </w:p>
    <w:p>
      <w:pPr>
        <w:pStyle w:val="BlockText"/>
        <w:rPr/>
      </w:pPr>
      <w:r>
        <w:rPr/>
        <w:t xml:space="preserve">(x) </w:t>
        <w:tab/>
        <w:t xml:space="preserve">repurchase agreements fully secured by obligations described in clause (u) above with any Acceptable Bank with maturities not in excess of thirty (30) days, </w:t>
      </w:r>
    </w:p>
    <w:p>
      <w:pPr>
        <w:pStyle w:val="BlockText"/>
        <w:rPr/>
      </w:pPr>
      <w:r>
        <w:rPr/>
        <w:t xml:space="preserve">(y)  </w:t>
        <w:tab/>
        <w:t>shares in money-market mutual funds having assets of $1,000,000,000 or more that invest solely in securities described in clauses (u) through (x) above that have a maximum maturity of one year or less and an average maturity of six months or less at the time of purchase, and</w:t>
      </w:r>
    </w:p>
    <w:p>
      <w:pPr>
        <w:pStyle w:val="BlockText"/>
        <w:rPr/>
      </w:pPr>
      <w:r>
        <w:rPr/>
        <w:t>(z)</w:t>
        <w:tab/>
        <w:t>deposits, advances, loans or extensions of credit referred to in, and not otherwise excluded from, clause (b) of the definition of “Investment” in an aggregate principal amount not to exceed $250,000 outstanding at any time.</w:t>
      </w:r>
    </w:p>
    <w:p>
      <w:pPr>
        <w:pStyle w:val="Normal"/>
        <w:suppressAutoHyphens w:val="true"/>
        <w:spacing w:before="0" w:after="240"/>
        <w:ind w:firstLine="720" w:end="0"/>
        <w:jc w:val="both"/>
        <w:rPr/>
      </w:pPr>
      <w:r>
        <w:rPr>
          <w:spacing w:val="0"/>
          <w:sz w:val="20"/>
        </w:rPr>
        <w:t xml:space="preserve"> “</w:t>
      </w:r>
      <w:r>
        <w:rPr>
          <w:spacing w:val="0"/>
          <w:sz w:val="20"/>
          <w:u w:val="single"/>
        </w:rPr>
        <w:t>Operating Account</w:t>
      </w:r>
      <w:r>
        <w:rPr>
          <w:spacing w:val="0"/>
          <w:sz w:val="20"/>
        </w:rPr>
        <w:t>” shall mean the account or accounts maintained from time to time by the Debtor with the Operating Account Bank (but excluding in any event the Securities Accounts).</w:t>
      </w:r>
    </w:p>
    <w:p>
      <w:pPr>
        <w:pStyle w:val="Normal"/>
        <w:suppressAutoHyphens w:val="true"/>
        <w:spacing w:before="0" w:after="240"/>
        <w:ind w:firstLine="720" w:end="0"/>
        <w:jc w:val="both"/>
        <w:rPr/>
      </w:pPr>
      <w:r>
        <w:rPr>
          <w:spacing w:val="0"/>
          <w:sz w:val="20"/>
        </w:rPr>
        <w:t xml:space="preserve"> “</w:t>
      </w:r>
      <w:r>
        <w:rPr>
          <w:spacing w:val="0"/>
          <w:sz w:val="20"/>
          <w:u w:val="single"/>
        </w:rPr>
        <w:t>Operating Account Bank</w:t>
      </w:r>
      <w:r>
        <w:rPr>
          <w:spacing w:val="0"/>
          <w:sz w:val="20"/>
        </w:rPr>
        <w:t>” shall mean Wachovia Bank, N.A. located in Winston-Salem, North Carolina, or such other financial institution selected from time to time by the Debtor, at which the Operating Account shall be maintained.</w:t>
      </w:r>
    </w:p>
    <w:p>
      <w:pPr>
        <w:pStyle w:val="Normal"/>
        <w:suppressAutoHyphens w:val="true"/>
        <w:spacing w:before="0" w:after="240"/>
        <w:ind w:firstLine="720" w:end="0"/>
        <w:jc w:val="both"/>
        <w:rPr/>
      </w:pPr>
      <w:r>
        <w:rPr>
          <w:spacing w:val="0"/>
          <w:sz w:val="20"/>
        </w:rPr>
        <w:t xml:space="preserve"> “</w:t>
      </w:r>
      <w:r>
        <w:rPr>
          <w:spacing w:val="0"/>
          <w:sz w:val="20"/>
          <w:u w:val="single"/>
        </w:rPr>
        <w:t>Operating Agreement</w:t>
      </w:r>
      <w:r>
        <w:rPr>
          <w:spacing w:val="0"/>
          <w:sz w:val="20"/>
        </w:rPr>
        <w:t>” shall mean the Limited Liability Company Operating Agreement of Lost Creek Gathering Company, L.L.C., dated December 17, 1998, among the Members.</w:t>
      </w:r>
    </w:p>
    <w:p>
      <w:pPr>
        <w:pStyle w:val="Normal"/>
        <w:suppressAutoHyphens w:val="true"/>
        <w:spacing w:before="0" w:after="240"/>
        <w:ind w:firstLine="720" w:end="0"/>
        <w:jc w:val="both"/>
        <w:rPr/>
      </w:pPr>
      <w:r>
        <w:rPr>
          <w:spacing w:val="0"/>
          <w:sz w:val="20"/>
        </w:rPr>
        <w:t xml:space="preserve"> “</w:t>
      </w:r>
      <w:r>
        <w:rPr>
          <w:spacing w:val="0"/>
          <w:sz w:val="20"/>
          <w:u w:val="single"/>
        </w:rPr>
        <w:t>Operating Budget</w:t>
      </w:r>
      <w:r>
        <w:rPr>
          <w:spacing w:val="0"/>
          <w:sz w:val="20"/>
        </w:rPr>
        <w:t>” shall mean a budget, prepared and certified by the Debtor, of operation and maintenance expenses expected to be incurred by the Debtor during the relevant Funding Year to which such budget applies.</w:t>
      </w:r>
    </w:p>
    <w:p>
      <w:pPr>
        <w:pStyle w:val="Normal"/>
        <w:suppressAutoHyphens w:val="true"/>
        <w:spacing w:before="0" w:after="240"/>
        <w:ind w:firstLine="720" w:end="0"/>
        <w:jc w:val="both"/>
        <w:rPr/>
      </w:pPr>
      <w:r>
        <w:rPr>
          <w:spacing w:val="0"/>
          <w:sz w:val="20"/>
        </w:rPr>
        <w:t xml:space="preserve"> “</w:t>
      </w:r>
      <w:r>
        <w:rPr>
          <w:spacing w:val="0"/>
          <w:sz w:val="20"/>
          <w:u w:val="single"/>
        </w:rPr>
        <w:t>Operation and Maintenance Agreement</w:t>
      </w:r>
      <w:r>
        <w:rPr>
          <w:spacing w:val="0"/>
          <w:sz w:val="20"/>
        </w:rPr>
        <w:t>” shall mean the Operation and Maintenance Agreement to be entered into between the Debtor and the Field Operator on or before the Term Conversion Date with such changes to such form as may be agreed to from time to time by the Debtor and the Field Operator.</w:t>
      </w:r>
    </w:p>
    <w:p>
      <w:pPr>
        <w:pStyle w:val="Normal"/>
        <w:suppressAutoHyphens w:val="true"/>
        <w:spacing w:before="0" w:after="240"/>
        <w:ind w:firstLine="720" w:end="0"/>
        <w:jc w:val="both"/>
        <w:rPr/>
      </w:pPr>
      <w:r>
        <w:rPr>
          <w:spacing w:val="0"/>
          <w:sz w:val="20"/>
        </w:rPr>
        <w:t xml:space="preserve"> “</w:t>
      </w:r>
      <w:r>
        <w:rPr>
          <w:spacing w:val="0"/>
          <w:sz w:val="20"/>
          <w:u w:val="single"/>
        </w:rPr>
        <w:t>Permitted Swap Agreement</w:t>
      </w:r>
      <w:r>
        <w:rPr>
          <w:spacing w:val="0"/>
          <w:sz w:val="20"/>
        </w:rPr>
        <w:t xml:space="preserve">” shall mean any interest rate swap, cap or collar agreement or similar arrangement between the Debtor and any Bank entered into in accordance with the terms of </w:t>
      </w:r>
      <w:r>
        <w:rPr>
          <w:spacing w:val="0"/>
          <w:sz w:val="20"/>
          <w:u w:val="single"/>
        </w:rPr>
        <w:t>Section 8.15</w:t>
      </w:r>
      <w:r>
        <w:rPr>
          <w:spacing w:val="0"/>
          <w:sz w:val="20"/>
        </w:rPr>
        <w:t xml:space="preserve"> of the Credit Agreement.</w:t>
      </w:r>
    </w:p>
    <w:p>
      <w:pPr>
        <w:pStyle w:val="Normal"/>
        <w:suppressAutoHyphens w:val="true"/>
        <w:spacing w:before="0" w:after="240"/>
        <w:ind w:firstLine="720" w:end="0"/>
        <w:jc w:val="both"/>
        <w:rPr/>
      </w:pPr>
      <w:r>
        <w:rPr>
          <w:spacing w:val="0"/>
          <w:sz w:val="20"/>
        </w:rPr>
        <w:t xml:space="preserve"> “</w:t>
      </w:r>
      <w:r>
        <w:rPr>
          <w:spacing w:val="0"/>
          <w:sz w:val="20"/>
          <w:u w:val="single"/>
        </w:rPr>
        <w:t>Person</w:t>
      </w:r>
      <w:r>
        <w:rPr>
          <w:spacing w:val="0"/>
          <w:sz w:val="20"/>
        </w:rPr>
        <w:t>” shall mean any individual, corporation, company, voluntary association, partnership, joint venture, trust, limited liability company, unincorporated organization or Government Authority.</w:t>
      </w:r>
    </w:p>
    <w:p>
      <w:pPr>
        <w:pStyle w:val="Normal"/>
        <w:suppressAutoHyphens w:val="true"/>
        <w:spacing w:before="0" w:after="240"/>
        <w:ind w:firstLine="720" w:end="0"/>
        <w:jc w:val="both"/>
        <w:rPr/>
      </w:pPr>
      <w:r>
        <w:rPr>
          <w:spacing w:val="0"/>
          <w:sz w:val="20"/>
        </w:rPr>
        <w:t xml:space="preserve"> “</w:t>
      </w:r>
      <w:r>
        <w:rPr>
          <w:spacing w:val="0"/>
          <w:sz w:val="20"/>
          <w:u w:val="single"/>
        </w:rPr>
        <w:t>Pipe Contract</w:t>
      </w:r>
      <w:r>
        <w:rPr>
          <w:spacing w:val="0"/>
          <w:sz w:val="20"/>
        </w:rPr>
        <w:t>” shall mean the Agency Agreement, dated as of April 19, 1999, between the Debtor and Enron Engineering and Construction Company, a Texas corporation.</w:t>
      </w:r>
    </w:p>
    <w:p>
      <w:pPr>
        <w:pStyle w:val="Normal"/>
        <w:suppressAutoHyphens w:val="true"/>
        <w:spacing w:before="0" w:after="240"/>
        <w:ind w:firstLine="720" w:end="0"/>
        <w:jc w:val="both"/>
        <w:rPr/>
      </w:pPr>
      <w:r>
        <w:rPr>
          <w:spacing w:val="0"/>
          <w:sz w:val="20"/>
        </w:rPr>
        <w:t xml:space="preserve"> “</w:t>
      </w:r>
      <w:r>
        <w:rPr>
          <w:spacing w:val="0"/>
          <w:sz w:val="20"/>
          <w:u w:val="single"/>
        </w:rPr>
        <w:t>Project</w:t>
      </w:r>
      <w:r>
        <w:rPr>
          <w:spacing w:val="0"/>
          <w:sz w:val="20"/>
        </w:rPr>
        <w:t>” shall mean the Facilities and the Compressor/Dewpoint Site.</w:t>
      </w:r>
    </w:p>
    <w:p>
      <w:pPr>
        <w:pStyle w:val="Normal"/>
        <w:suppressAutoHyphens w:val="true"/>
        <w:ind w:firstLine="720" w:end="0"/>
        <w:jc w:val="both"/>
        <w:rPr/>
      </w:pPr>
      <w:r>
        <w:rPr>
          <w:spacing w:val="0"/>
          <w:sz w:val="20"/>
        </w:rPr>
        <w:t xml:space="preserve"> “</w:t>
      </w:r>
      <w:r>
        <w:rPr>
          <w:spacing w:val="0"/>
          <w:sz w:val="20"/>
          <w:u w:val="single"/>
        </w:rPr>
        <w:t>Project Manager Letter Agreement</w:t>
      </w:r>
      <w:r>
        <w:rPr>
          <w:spacing w:val="0"/>
          <w:sz w:val="20"/>
        </w:rPr>
        <w:t>” shall mean that certain letter agreement dated December 17, 1998, by and between BRTI and ECT-WR regarding construction and installation of the Facilities.</w:t>
      </w:r>
    </w:p>
    <w:p>
      <w:pPr>
        <w:pStyle w:val="Normal"/>
        <w:suppressAutoHyphens w:val="true"/>
        <w:jc w:val="both"/>
        <w:rPr>
          <w:spacing w:val="0"/>
          <w:sz w:val="20"/>
        </w:rPr>
      </w:pPr>
      <w:r>
        <w:rPr>
          <w:spacing w:val="0"/>
          <w:sz w:val="20"/>
        </w:rPr>
        <w:tab/>
      </w:r>
    </w:p>
    <w:p>
      <w:pPr>
        <w:pStyle w:val="Normal"/>
        <w:suppressAutoHyphens w:val="true"/>
        <w:spacing w:before="0" w:after="240"/>
        <w:ind w:firstLine="720" w:end="0"/>
        <w:jc w:val="both"/>
        <w:rPr/>
      </w:pPr>
      <w:r>
        <w:rPr>
          <w:spacing w:val="0"/>
          <w:sz w:val="20"/>
        </w:rPr>
        <w:t xml:space="preserve"> “</w:t>
      </w:r>
      <w:r>
        <w:rPr>
          <w:spacing w:val="0"/>
          <w:sz w:val="20"/>
          <w:u w:val="single"/>
        </w:rPr>
        <w:t>Property</w:t>
      </w:r>
      <w:r>
        <w:rPr>
          <w:spacing w:val="0"/>
          <w:sz w:val="20"/>
        </w:rPr>
        <w:t>” shall mean any right or interest in or to property of any kind whatsoever, whether real, personal or mixed and whether tangible or intangible.</w:t>
      </w:r>
    </w:p>
    <w:p>
      <w:pPr>
        <w:pStyle w:val="Normal"/>
        <w:suppressAutoHyphens w:val="true"/>
        <w:spacing w:before="0" w:after="240"/>
        <w:ind w:firstLine="720" w:end="0"/>
        <w:jc w:val="both"/>
        <w:rPr/>
      </w:pPr>
      <w:r>
        <w:rPr>
          <w:spacing w:val="0"/>
          <w:sz w:val="20"/>
        </w:rPr>
        <w:t xml:space="preserve"> “</w:t>
      </w:r>
      <w:r>
        <w:rPr>
          <w:spacing w:val="0"/>
          <w:sz w:val="20"/>
          <w:u w:val="single"/>
        </w:rPr>
        <w:t>Retention Account</w:t>
      </w:r>
      <w:r>
        <w:rPr>
          <w:spacing w:val="0"/>
          <w:sz w:val="20"/>
        </w:rPr>
        <w:t xml:space="preserve">” shall mean the Retention Account established by the Debtor pursuant to Section 10.01 of the Credit Agreement. </w:t>
      </w:r>
    </w:p>
    <w:p>
      <w:pPr>
        <w:pStyle w:val="Normal"/>
        <w:suppressAutoHyphens w:val="true"/>
        <w:spacing w:before="0" w:after="240"/>
        <w:ind w:firstLine="720" w:end="0"/>
        <w:jc w:val="both"/>
        <w:rPr/>
      </w:pPr>
      <w:r>
        <w:rPr>
          <w:spacing w:val="0"/>
          <w:sz w:val="20"/>
        </w:rPr>
        <w:t xml:space="preserve"> “</w:t>
      </w:r>
      <w:r>
        <w:rPr>
          <w:spacing w:val="0"/>
          <w:sz w:val="20"/>
          <w:u w:val="single"/>
        </w:rPr>
        <w:t>S&amp;P</w:t>
      </w:r>
      <w:r>
        <w:rPr>
          <w:spacing w:val="0"/>
          <w:sz w:val="20"/>
        </w:rPr>
        <w:t>” shall mean Standard &amp; Poor’s Ratings Group, a division of McGraw-Hill, Inc.</w:t>
      </w:r>
    </w:p>
    <w:p>
      <w:pPr>
        <w:pStyle w:val="Normal"/>
        <w:suppressAutoHyphens w:val="true"/>
        <w:spacing w:before="0" w:after="240"/>
        <w:ind w:firstLine="720" w:end="0"/>
        <w:jc w:val="both"/>
        <w:rPr/>
      </w:pPr>
      <w:r>
        <w:rPr>
          <w:spacing w:val="0"/>
          <w:sz w:val="20"/>
        </w:rPr>
        <w:t xml:space="preserve"> “</w:t>
      </w:r>
      <w:r>
        <w:rPr>
          <w:spacing w:val="0"/>
          <w:sz w:val="20"/>
          <w:u w:val="single"/>
        </w:rPr>
        <w:t>Securities Account Control Agreement</w:t>
      </w:r>
      <w:r>
        <w:rPr>
          <w:spacing w:val="0"/>
          <w:sz w:val="20"/>
        </w:rPr>
        <w:t>” shall mean the Securities Account Control Agreement, dated as of September __, 2000 among the Administrative Agent, the Debtor and the Securities Intermediary.</w:t>
      </w:r>
    </w:p>
    <w:p>
      <w:pPr>
        <w:pStyle w:val="Normal"/>
        <w:suppressAutoHyphens w:val="true"/>
        <w:spacing w:before="0" w:after="240"/>
        <w:ind w:firstLine="720" w:end="0"/>
        <w:jc w:val="both"/>
        <w:rPr/>
      </w:pPr>
      <w:r>
        <w:rPr>
          <w:spacing w:val="0"/>
          <w:sz w:val="20"/>
        </w:rPr>
        <w:t xml:space="preserve"> “</w:t>
      </w:r>
      <w:r>
        <w:rPr>
          <w:spacing w:val="0"/>
          <w:sz w:val="20"/>
          <w:u w:val="single"/>
        </w:rPr>
        <w:t>Securities Accounts</w:t>
      </w:r>
      <w:r>
        <w:rPr>
          <w:spacing w:val="0"/>
          <w:sz w:val="20"/>
        </w:rPr>
        <w:t xml:space="preserve">” shall mean the Construction/Revenue Account, the Interest Account, the Debt Service Reserve Account, the Company Account, the Retention Account and the Loss Proceeds Account, but shall in any event exclude the Operating Account and the Additional Operating Accounts. </w:t>
      </w:r>
    </w:p>
    <w:p>
      <w:pPr>
        <w:pStyle w:val="Normal"/>
        <w:suppressAutoHyphens w:val="true"/>
        <w:spacing w:before="0" w:after="240"/>
        <w:ind w:firstLine="720" w:end="0"/>
        <w:jc w:val="both"/>
        <w:rPr/>
      </w:pPr>
      <w:r>
        <w:rPr>
          <w:spacing w:val="0"/>
          <w:sz w:val="20"/>
        </w:rPr>
        <w:t xml:space="preserve"> “</w:t>
      </w:r>
      <w:r>
        <w:rPr>
          <w:spacing w:val="0"/>
          <w:sz w:val="20"/>
          <w:u w:val="single"/>
        </w:rPr>
        <w:t>Securities Intermediary</w:t>
      </w:r>
      <w:r>
        <w:rPr>
          <w:spacing w:val="0"/>
          <w:sz w:val="20"/>
        </w:rPr>
        <w:t>” shall mean with respect to all Securities Accounts, Barclays Bank PLC, in its individual capacity, acting through its New York, New York branch, as a “securities intermediary” within the meaning of Article 8 of the UCC in effect in the State of New York.</w:t>
      </w:r>
    </w:p>
    <w:p>
      <w:pPr>
        <w:pStyle w:val="Normal"/>
        <w:spacing w:before="0" w:after="240"/>
        <w:ind w:firstLine="720" w:end="0"/>
        <w:jc w:val="both"/>
        <w:rPr/>
      </w:pPr>
      <w:r>
        <w:rPr>
          <w:spacing w:val="0"/>
          <w:sz w:val="20"/>
        </w:rPr>
        <w:t xml:space="preserve"> “</w:t>
      </w:r>
      <w:r>
        <w:rPr>
          <w:spacing w:val="0"/>
          <w:sz w:val="20"/>
          <w:u w:val="single"/>
        </w:rPr>
        <w:t>Security Agreement</w:t>
      </w:r>
      <w:r>
        <w:rPr>
          <w:spacing w:val="0"/>
          <w:sz w:val="20"/>
        </w:rPr>
        <w:t>” shall mean the Security Agreement, dated as of September __, 2000, between the Debtor and the Administrative Agent.</w:t>
      </w:r>
    </w:p>
    <w:p>
      <w:pPr>
        <w:pStyle w:val="Normal"/>
        <w:spacing w:before="0" w:after="240"/>
        <w:ind w:firstLine="720" w:end="0"/>
        <w:jc w:val="both"/>
        <w:rPr/>
      </w:pPr>
      <w:r>
        <w:rPr>
          <w:spacing w:val="0"/>
          <w:sz w:val="20"/>
        </w:rPr>
        <w:t xml:space="preserve"> “</w:t>
      </w:r>
      <w:r>
        <w:rPr>
          <w:spacing w:val="0"/>
          <w:sz w:val="20"/>
          <w:u w:val="single"/>
        </w:rPr>
        <w:t>Sponsor Gas Gathering Agreements</w:t>
      </w:r>
      <w:r>
        <w:rPr>
          <w:spacing w:val="0"/>
          <w:sz w:val="20"/>
        </w:rPr>
        <w:t xml:space="preserve">” shall mean the ENA Gas Gathering Agreement and BRTI Gas Gathering Agreement and any other firm gas gathering agreement that is executed and delivered by the Debtor and the other Person party thereto that is stated by its terms to be executed in substitution or successive substitution for the ENA Gas Gathering Agreement or the BRTI Gas Gathering Agreement pursuant to </w:t>
      </w:r>
      <w:r>
        <w:rPr>
          <w:spacing w:val="0"/>
          <w:sz w:val="20"/>
          <w:u w:val="single"/>
        </w:rPr>
        <w:t>Section 8.20</w:t>
      </w:r>
      <w:r>
        <w:rPr>
          <w:spacing w:val="0"/>
          <w:sz w:val="20"/>
        </w:rPr>
        <w:t xml:space="preserve"> of the Credit Agreement.</w:t>
      </w:r>
    </w:p>
    <w:p>
      <w:pPr>
        <w:pStyle w:val="Normal"/>
        <w:suppressAutoHyphens w:val="true"/>
        <w:ind w:firstLine="720" w:end="0"/>
        <w:jc w:val="both"/>
        <w:rPr/>
      </w:pPr>
      <w:r>
        <w:rPr>
          <w:spacing w:val="0"/>
          <w:sz w:val="20"/>
        </w:rPr>
        <w:t xml:space="preserve"> “</w:t>
      </w:r>
      <w:r>
        <w:rPr>
          <w:spacing w:val="0"/>
          <w:sz w:val="20"/>
          <w:u w:val="single"/>
        </w:rPr>
        <w:t>Sponsors</w:t>
      </w:r>
      <w:r>
        <w:rPr>
          <w:spacing w:val="0"/>
          <w:sz w:val="20"/>
        </w:rPr>
        <w:t>” shall mean Enron and BR.</w:t>
      </w:r>
    </w:p>
    <w:p>
      <w:pPr>
        <w:pStyle w:val="Normal"/>
        <w:suppressAutoHyphens w:val="true"/>
        <w:jc w:val="both"/>
        <w:rPr>
          <w:spacing w:val="0"/>
          <w:sz w:val="20"/>
        </w:rPr>
      </w:pPr>
      <w:r>
        <w:rPr>
          <w:spacing w:val="0"/>
          <w:sz w:val="20"/>
        </w:rPr>
        <w:t xml:space="preserve"> </w:t>
      </w:r>
    </w:p>
    <w:p>
      <w:pPr>
        <w:pStyle w:val="Normal"/>
        <w:suppressAutoHyphens w:val="true"/>
        <w:spacing w:before="0" w:after="240"/>
        <w:ind w:firstLine="720" w:end="0"/>
        <w:jc w:val="both"/>
        <w:rPr/>
      </w:pPr>
      <w:r>
        <w:rPr>
          <w:spacing w:val="0"/>
          <w:sz w:val="20"/>
        </w:rPr>
        <w:t xml:space="preserve"> “</w:t>
      </w:r>
      <w:r>
        <w:rPr>
          <w:spacing w:val="0"/>
          <w:sz w:val="20"/>
          <w:u w:val="single"/>
        </w:rPr>
        <w:t>Subordinated Loans</w:t>
      </w:r>
      <w:r>
        <w:rPr>
          <w:spacing w:val="0"/>
          <w:sz w:val="20"/>
        </w:rPr>
        <w:t>” shall mean unsecured loans from any Member or Sponsor to the Debtor.</w:t>
      </w:r>
    </w:p>
    <w:p>
      <w:pPr>
        <w:pStyle w:val="Normal"/>
        <w:suppressAutoHyphens w:val="true"/>
        <w:spacing w:before="0" w:after="240"/>
        <w:ind w:firstLine="720" w:end="0"/>
        <w:jc w:val="both"/>
        <w:rPr/>
      </w:pPr>
      <w:r>
        <w:rPr>
          <w:spacing w:val="0"/>
          <w:sz w:val="20"/>
        </w:rPr>
        <w:t xml:space="preserve"> “</w:t>
      </w:r>
      <w:r>
        <w:rPr>
          <w:spacing w:val="0"/>
          <w:sz w:val="20"/>
          <w:u w:val="single"/>
        </w:rPr>
        <w:t>Term Conversion Date</w:t>
      </w:r>
      <w:r>
        <w:rPr>
          <w:spacing w:val="0"/>
          <w:sz w:val="20"/>
        </w:rPr>
        <w:t>” shall mean September __, 2000.</w:t>
      </w:r>
    </w:p>
    <w:p>
      <w:pPr>
        <w:pStyle w:val="Normal"/>
        <w:suppressAutoHyphens w:val="true"/>
        <w:spacing w:before="0" w:after="240"/>
        <w:ind w:firstLine="720" w:end="0"/>
        <w:jc w:val="both"/>
        <w:rPr/>
      </w:pPr>
      <w:r>
        <w:rPr>
          <w:spacing w:val="0"/>
          <w:sz w:val="20"/>
        </w:rPr>
        <w:t xml:space="preserve"> “</w:t>
      </w:r>
      <w:r>
        <w:rPr>
          <w:spacing w:val="0"/>
          <w:sz w:val="20"/>
          <w:u w:val="single"/>
        </w:rPr>
        <w:t>UCC</w:t>
      </w:r>
      <w:r>
        <w:rPr>
          <w:spacing w:val="0"/>
          <w:sz w:val="20"/>
        </w:rPr>
        <w:t>” shall mean the Uniform Commercial Code as enacted prior to the effectiveness of the Revised Uniform Commercial Code on July 31, 2001.</w:t>
        <w:tab/>
      </w:r>
      <w:r>
        <w:br w:type="page"/>
      </w:r>
    </w:p>
    <w:p>
      <w:pPr>
        <w:pStyle w:val="Normal"/>
        <w:spacing w:before="0" w:after="240"/>
        <w:jc w:val="center"/>
        <w:rPr>
          <w:b/>
          <w:spacing w:val="0"/>
          <w:sz w:val="20"/>
        </w:rPr>
      </w:pPr>
      <w:r>
        <w:rPr>
          <w:b/>
          <w:spacing w:val="0"/>
          <w:sz w:val="20"/>
        </w:rPr>
        <w:t>SCHEDULE 1 TO EXHIBIT A</w:t>
      </w:r>
    </w:p>
    <w:p>
      <w:pPr>
        <w:pStyle w:val="Normal"/>
        <w:spacing w:before="0" w:after="480"/>
        <w:jc w:val="center"/>
        <w:rPr/>
      </w:pPr>
      <w:r>
        <w:rPr>
          <w:spacing w:val="0"/>
          <w:sz w:val="20"/>
          <w:u w:val="single"/>
        </w:rPr>
        <w:t xml:space="preserve">DESCRIPTION OF </w:t>
      </w:r>
      <w:r>
        <w:rPr>
          <w:caps/>
          <w:spacing w:val="0"/>
          <w:sz w:val="20"/>
          <w:u w:val="single"/>
        </w:rPr>
        <w:t>Compressor/Dewpoint</w:t>
      </w:r>
      <w:r>
        <w:rPr>
          <w:spacing w:val="0"/>
          <w:sz w:val="20"/>
          <w:u w:val="single"/>
        </w:rPr>
        <w:t xml:space="preserve"> FACILITY SITE</w:t>
      </w:r>
    </w:p>
    <w:p>
      <w:pPr>
        <w:pStyle w:val="Normal"/>
        <w:spacing w:before="0" w:after="240"/>
        <w:rPr>
          <w:spacing w:val="0"/>
          <w:sz w:val="20"/>
        </w:rPr>
      </w:pPr>
      <w:r>
        <w:rPr>
          <w:spacing w:val="0"/>
          <w:sz w:val="20"/>
        </w:rPr>
        <w:t>A parcel of land situated in the North Half (N1/2) of Section Twenty-seven (27), Township Twenty (20) North, Range Ninety-four (94) West of the Sixth (6th) Principal Meridian, Sweetwater County, Wyoming, being more particularly described as follows:</w:t>
      </w:r>
    </w:p>
    <w:p>
      <w:pPr>
        <w:pStyle w:val="Normal"/>
        <w:spacing w:before="0" w:after="240"/>
        <w:rPr>
          <w:spacing w:val="0"/>
          <w:sz w:val="20"/>
        </w:rPr>
      </w:pPr>
      <w:r>
        <w:rPr>
          <w:spacing w:val="0"/>
          <w:sz w:val="20"/>
        </w:rPr>
        <w:t>Commencing at a point on the East and West Centerline of said Section 27, said point being South 89º58’00 East, a distance of 958.58 feet from the West Quarter (W1/4) Corner of said Section 27; Thence North 0º00’00” East, a distance of 802.71 feet; Thence North 90º00’00” East, a distance of 668.03 feet to a point on the east right-of-way line of a private road; thence South 19º58’37” East, a distance of 854.70 feet along the east right-of-way line of said private road; Thence North 89º58’00” West, a distance of 960.03 feet to the point of beginning.</w:t>
      </w:r>
    </w:p>
    <w:p>
      <w:pPr>
        <w:pStyle w:val="Normal"/>
        <w:rPr>
          <w:spacing w:val="0"/>
          <w:sz w:val="20"/>
        </w:rPr>
      </w:pPr>
      <w:r>
        <w:rPr>
          <w:spacing w:val="0"/>
          <w:sz w:val="20"/>
        </w:rPr>
        <w:t>Said parcel of land contains an area of 15.01 acres, more or less.</w:t>
      </w:r>
    </w:p>
    <w:p>
      <w:pPr>
        <w:pStyle w:val="Normal"/>
        <w:rPr>
          <w:spacing w:val="0"/>
          <w:sz w:val="20"/>
        </w:rPr>
      </w:pPr>
      <w:r>
        <w:rPr>
          <w:spacing w:val="0"/>
          <w:sz w:val="20"/>
        </w:rPr>
      </w:r>
    </w:p>
    <w:sectPr>
      <w:headerReference w:type="default" r:id="rId2"/>
      <w:headerReference w:type="first" r:id="rId3"/>
      <w:footerReference w:type="default" r:id="rId4"/>
      <w:footerReference w:type="first" r:id="rId5"/>
      <w:type w:val="nextPage"/>
      <w:pgSz w:w="12240" w:h="15840"/>
      <w:pgMar w:left="720" w:right="72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574981-2</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574981-2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9/12/00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hanging="0"/>
      </w:pPr>
    </w:lvl>
    <w:lvl w:ilvl="1">
      <w:start w:val="1"/>
      <w:pStyle w:val="Heading2"/>
      <w:numFmt w:val="lowerLetter"/>
      <w:lvlText w:val="%2."/>
      <w:lvlJc w:val="start"/>
      <w:pPr>
        <w:tabs>
          <w:tab w:val="num" w:pos="720"/>
        </w:tabs>
        <w:ind w:start="0" w:hanging="0"/>
      </w:pPr>
    </w:lvl>
    <w:lvl w:ilvl="2">
      <w:start w:val="1"/>
      <w:pStyle w:val="Heading3"/>
      <w:numFmt w:val="lowerRoman"/>
      <w:lvlText w:val="%3."/>
      <w:lvlJc w:val="start"/>
      <w:pPr>
        <w:tabs>
          <w:tab w:val="num" w:pos="720"/>
        </w:tabs>
        <w:ind w:start="0" w:hanging="0"/>
      </w:pPr>
    </w:lvl>
    <w:lvl w:ilvl="3">
      <w:start w:val="1"/>
      <w:pStyle w:val="Heading4"/>
      <w:numFmt w:val="decimal"/>
      <w:lvlText w:val="(%4)"/>
      <w:lvlJc w:val="start"/>
      <w:pPr>
        <w:tabs>
          <w:tab w:val="num" w:pos="720"/>
        </w:tabs>
        <w:ind w:start="0" w:hanging="0"/>
      </w:pPr>
    </w:lvl>
    <w:lvl w:ilvl="4">
      <w:start w:val="1"/>
      <w:pStyle w:val="Heading5"/>
      <w:numFmt w:val="lowerLetter"/>
      <w:lvlText w:val="(%5)"/>
      <w:lvlJc w:val="start"/>
      <w:pPr>
        <w:tabs>
          <w:tab w:val="num" w:pos="720"/>
        </w:tabs>
        <w:ind w:start="0" w:hanging="0"/>
      </w:pPr>
    </w:lvl>
    <w:lvl w:ilvl="5">
      <w:start w:val="1"/>
      <w:pStyle w:val="Heading6"/>
      <w:numFmt w:val="lowerRoman"/>
      <w:lvlText w:val="(%6)"/>
      <w:lvlJc w:val="start"/>
      <w:pPr>
        <w:tabs>
          <w:tab w:val="num" w:pos="720"/>
        </w:tabs>
        <w:ind w:start="0" w:hanging="0"/>
      </w:pPr>
    </w:lvl>
    <w:lvl w:ilvl="6">
      <w:start w:val="1"/>
      <w:pStyle w:val="Heading7"/>
      <w:numFmt w:val="decimal"/>
      <w:lvlText w:val="%7)"/>
      <w:lvlJc w:val="start"/>
      <w:pPr>
        <w:tabs>
          <w:tab w:val="num" w:pos="720"/>
        </w:tabs>
        <w:ind w:start="0" w:hanging="0"/>
      </w:pPr>
    </w:lvl>
    <w:lvl w:ilvl="7">
      <w:start w:val="1"/>
      <w:pStyle w:val="Heading8"/>
      <w:numFmt w:val="lowerLetter"/>
      <w:lvlText w:val="%8)"/>
      <w:lvlJc w:val="start"/>
      <w:pPr>
        <w:tabs>
          <w:tab w:val="num" w:pos="72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Normal"/>
    <w:qFormat/>
    <w:pPr>
      <w:numPr>
        <w:ilvl w:val="0"/>
        <w:numId w:val="1"/>
      </w:numPr>
      <w:spacing w:before="0" w:after="240"/>
      <w:ind w:firstLine="720" w:start="0" w:end="0"/>
      <w:outlineLvl w:val="0"/>
    </w:pPr>
    <w:rPr/>
  </w:style>
  <w:style w:type="paragraph" w:styleId="Heading2">
    <w:name w:val="heading 2"/>
    <w:basedOn w:val="Normal"/>
    <w:next w:val="Normal"/>
    <w:qFormat/>
    <w:pPr>
      <w:numPr>
        <w:ilvl w:val="1"/>
        <w:numId w:val="1"/>
      </w:numPr>
      <w:spacing w:before="0" w:after="240"/>
      <w:ind w:firstLine="1440" w:start="0" w:end="0"/>
      <w:outlineLvl w:val="1"/>
    </w:pPr>
    <w:rPr/>
  </w:style>
  <w:style w:type="paragraph" w:styleId="Heading3">
    <w:name w:val="heading 3"/>
    <w:basedOn w:val="Normal"/>
    <w:next w:val="Normal"/>
    <w:qFormat/>
    <w:pPr>
      <w:numPr>
        <w:ilvl w:val="2"/>
        <w:numId w:val="1"/>
      </w:numPr>
      <w:spacing w:before="0" w:after="240"/>
      <w:ind w:firstLine="2160" w:start="0" w:end="0"/>
      <w:outlineLvl w:val="2"/>
    </w:pPr>
    <w:rPr/>
  </w:style>
  <w:style w:type="paragraph" w:styleId="Heading4">
    <w:name w:val="heading 4"/>
    <w:basedOn w:val="Normal"/>
    <w:next w:val="Normal"/>
    <w:qFormat/>
    <w:pPr>
      <w:numPr>
        <w:ilvl w:val="3"/>
        <w:numId w:val="1"/>
      </w:numPr>
      <w:spacing w:before="0" w:after="240"/>
      <w:ind w:firstLine="2880" w:start="0" w:end="0"/>
      <w:outlineLvl w:val="3"/>
    </w:pPr>
    <w:rPr/>
  </w:style>
  <w:style w:type="paragraph" w:styleId="Heading5">
    <w:name w:val="heading 5"/>
    <w:basedOn w:val="Normal"/>
    <w:next w:val="Normal"/>
    <w:qFormat/>
    <w:pPr>
      <w:numPr>
        <w:ilvl w:val="4"/>
        <w:numId w:val="1"/>
      </w:numPr>
      <w:spacing w:before="0" w:after="240"/>
      <w:ind w:firstLine="3600" w:start="0" w:end="0"/>
      <w:outlineLvl w:val="4"/>
    </w:pPr>
    <w:rPr/>
  </w:style>
  <w:style w:type="paragraph" w:styleId="Heading6">
    <w:name w:val="heading 6"/>
    <w:basedOn w:val="Normal"/>
    <w:next w:val="Normal"/>
    <w:qFormat/>
    <w:pPr>
      <w:numPr>
        <w:ilvl w:val="5"/>
        <w:numId w:val="1"/>
      </w:numPr>
      <w:spacing w:before="0" w:after="240"/>
      <w:ind w:firstLine="4320" w:start="0" w:end="0"/>
      <w:outlineLvl w:val="5"/>
    </w:pPr>
    <w:rPr/>
  </w:style>
  <w:style w:type="paragraph" w:styleId="Heading7">
    <w:name w:val="heading 7"/>
    <w:basedOn w:val="Normal"/>
    <w:next w:val="Normal"/>
    <w:qFormat/>
    <w:pPr>
      <w:numPr>
        <w:ilvl w:val="6"/>
        <w:numId w:val="1"/>
      </w:numPr>
      <w:spacing w:before="0" w:after="240"/>
      <w:ind w:firstLine="5040" w:start="0" w:end="0"/>
      <w:outlineLvl w:val="6"/>
    </w:pPr>
    <w:rPr/>
  </w:style>
  <w:style w:type="paragraph" w:styleId="Heading8">
    <w:name w:val="heading 8"/>
    <w:basedOn w:val="Normal"/>
    <w:next w:val="Normal"/>
    <w:qFormat/>
    <w:pPr>
      <w:numPr>
        <w:ilvl w:val="7"/>
        <w:numId w:val="1"/>
      </w:numPr>
      <w:spacing w:before="0" w:after="240"/>
      <w:ind w:firstLine="5760" w:start="0" w:end="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spacing w:val="0"/>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270" w:start="270" w:end="720"/>
    </w:pPr>
    <w:rPr/>
  </w:style>
  <w:style w:type="paragraph" w:styleId="TOC2">
    <w:name w:val="toc 2"/>
    <w:basedOn w:val="Normal"/>
    <w:next w:val="Normal"/>
    <w:pPr>
      <w:tabs>
        <w:tab w:val="clear" w:pos="720"/>
        <w:tab w:val="right" w:pos="9360" w:leader="dot"/>
      </w:tabs>
      <w:spacing w:before="0" w:after="240"/>
      <w:ind w:hanging="360" w:start="630" w:end="720"/>
    </w:pPr>
    <w:rPr/>
  </w:style>
  <w:style w:type="paragraph" w:styleId="TOC3">
    <w:name w:val="toc 3"/>
    <w:basedOn w:val="Normal"/>
    <w:next w:val="Normal"/>
    <w:pPr>
      <w:tabs>
        <w:tab w:val="clear" w:pos="720"/>
        <w:tab w:val="right" w:pos="9360" w:leader="dot"/>
      </w:tabs>
      <w:spacing w:before="0" w:after="240"/>
      <w:ind w:hanging="270" w:start="900" w:end="720"/>
    </w:pPr>
    <w:rPr/>
  </w:style>
  <w:style w:type="paragraph" w:styleId="TOC4">
    <w:name w:val="toc 4"/>
    <w:basedOn w:val="Normal"/>
    <w:next w:val="Normal"/>
    <w:pPr>
      <w:tabs>
        <w:tab w:val="clear" w:pos="720"/>
        <w:tab w:val="right" w:pos="9360" w:leader="dot"/>
      </w:tabs>
      <w:spacing w:before="0" w:after="240"/>
      <w:ind w:hanging="450" w:start="1350" w:end="720"/>
    </w:pPr>
    <w:rPr/>
  </w:style>
  <w:style w:type="paragraph" w:styleId="TOC5">
    <w:name w:val="toc 5"/>
    <w:basedOn w:val="Normal"/>
    <w:next w:val="Normal"/>
    <w:pPr>
      <w:tabs>
        <w:tab w:val="clear" w:pos="720"/>
        <w:tab w:val="right" w:pos="9360" w:leader="dot"/>
      </w:tabs>
      <w:spacing w:before="0" w:after="240"/>
      <w:ind w:hanging="364" w:start="1710" w:end="720"/>
    </w:pPr>
    <w:rPr/>
  </w:style>
  <w:style w:type="paragraph" w:styleId="TOC6">
    <w:name w:val="toc 6"/>
    <w:basedOn w:val="Normal"/>
    <w:next w:val="Normal"/>
    <w:pPr>
      <w:tabs>
        <w:tab w:val="clear" w:pos="720"/>
        <w:tab w:val="right" w:pos="9360" w:leader="dot"/>
      </w:tabs>
      <w:spacing w:before="0" w:after="240"/>
      <w:ind w:hanging="360" w:start="2070" w:end="720"/>
    </w:pPr>
    <w:rPr/>
  </w:style>
  <w:style w:type="paragraph" w:styleId="TOC7">
    <w:name w:val="toc 7"/>
    <w:basedOn w:val="Normal"/>
    <w:next w:val="Normal"/>
    <w:pPr>
      <w:tabs>
        <w:tab w:val="clear" w:pos="720"/>
        <w:tab w:val="right" w:pos="9360" w:leader="dot"/>
      </w:tabs>
      <w:spacing w:before="0" w:after="240"/>
      <w:ind w:hanging="360" w:start="2430" w:end="720"/>
    </w:pPr>
    <w:rPr/>
  </w:style>
  <w:style w:type="paragraph" w:styleId="TOC8">
    <w:name w:val="toc 8"/>
    <w:basedOn w:val="Normal"/>
    <w:next w:val="Normal"/>
    <w:pPr>
      <w:tabs>
        <w:tab w:val="clear" w:pos="720"/>
        <w:tab w:val="right" w:pos="9360" w:leader="dot"/>
      </w:tabs>
      <w:spacing w:before="0" w:after="240"/>
      <w:ind w:hanging="270" w:start="2700" w:end="720"/>
    </w:pPr>
    <w:rPr/>
  </w:style>
  <w:style w:type="paragraph" w:styleId="TOC9">
    <w:name w:val="toc 9"/>
    <w:basedOn w:val="Normal"/>
    <w:next w:val="Normal"/>
    <w:pPr>
      <w:tabs>
        <w:tab w:val="clear" w:pos="720"/>
        <w:tab w:val="right" w:pos="9360" w:leader="dot"/>
      </w:tabs>
      <w:ind w:hanging="0" w:start="2340" w:end="0"/>
    </w:pPr>
    <w:rPr/>
  </w:style>
  <w:style w:type="paragraph" w:styleId="EndnoteText">
    <w:name w:val="endnote text"/>
    <w:basedOn w:val="Normal"/>
    <w:pPr/>
    <w:rPr>
      <w:sz w:val="20"/>
    </w:rPr>
  </w:style>
  <w:style w:type="paragraph" w:styleId="Subtitle">
    <w:name w:val="Subtitle"/>
    <w:basedOn w:val="Normal"/>
    <w:next w:val="BodyText"/>
    <w:qFormat/>
    <w:pPr>
      <w:spacing w:before="0" w:after="60"/>
      <w:jc w:val="center"/>
      <w:outlineLvl w:val="1"/>
    </w:pPr>
    <w:rPr>
      <w:rFonts w:ascii="Arial" w:hAnsi="Arial" w:cs="Arial"/>
    </w:rPr>
  </w:style>
  <w:style w:type="paragraph" w:styleId="BlockText">
    <w:name w:val="Block Text"/>
    <w:basedOn w:val="Normal"/>
    <w:qFormat/>
    <w:pPr>
      <w:spacing w:before="0" w:after="240"/>
      <w:ind w:firstLine="720" w:start="1440" w:end="1440"/>
      <w:jc w:val="both"/>
    </w:pPr>
    <w:rPr>
      <w:spacing w:val="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2000-09-11T23:06:00Z</dcterms:created>
  <dc:creator>R_SCHNEEBECK</dc:creator>
  <dc:description/>
  <dc:language>en-CA</dc:language>
  <cp:lastModifiedBy>A&amp;K</cp:lastModifiedBy>
  <cp:lastPrinted>2000-09-11T20:28:00Z</cp:lastPrinted>
  <dcterms:modified xsi:type="dcterms:W3CDTF">2000-09-11T23:06:00Z</dcterms:modified>
  <cp:revision>2</cp:revision>
  <dc:subject/>
  <dc:title>STANDARD FORM</dc:title>
</cp:coreProperties>
</file>