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spacing w:lineRule="exact" w:line="240"/>
        <w:rPr/>
      </w:pPr>
      <w:r>
        <w:rPr/>
        <w:tab/>
        <w:tab/>
        <w:tab/>
        <w:tab/>
        <w:tab/>
        <w:tab/>
        <w:tab/>
        <w:tab/>
        <w:tab/>
        <w:tab/>
        <w:t>Exhibit No.  22</w:t>
      </w:r>
    </w:p>
    <w:p>
      <w:pPr>
        <w:pStyle w:val="Footer"/>
        <w:tabs>
          <w:tab w:val="clear" w:pos="4320"/>
          <w:tab w:val="clear" w:pos="8640"/>
        </w:tabs>
        <w:spacing w:lineRule="exact" w:line="240"/>
        <w:rPr/>
      </w:pPr>
      <w:r>
        <w:rPr/>
      </w:r>
    </w:p>
    <w:p>
      <w:pPr>
        <w:pStyle w:val="Footer"/>
        <w:tabs>
          <w:tab w:val="clear" w:pos="4320"/>
          <w:tab w:val="clear" w:pos="8640"/>
        </w:tabs>
        <w:spacing w:lineRule="exact" w:line="240"/>
        <w:rPr/>
      </w:pPr>
      <w:r>
        <w:rPr/>
        <w:tab/>
        <w:tab/>
        <w:tab/>
        <w:tab/>
        <w:tab/>
        <w:tab/>
        <w:tab/>
        <w:tab/>
        <w:tab/>
        <w:tab/>
        <w:t>Date   6/5/00</w:t>
      </w:r>
    </w:p>
    <w:p>
      <w:pPr>
        <w:pStyle w:val="Footer"/>
        <w:tabs>
          <w:tab w:val="clear" w:pos="4320"/>
          <w:tab w:val="clear" w:pos="8640"/>
        </w:tabs>
        <w:spacing w:lineRule="exact" w:line="240"/>
        <w:rPr/>
      </w:pPr>
      <w:r>
        <w:rPr/>
      </w:r>
    </w:p>
    <w:p>
      <w:pPr>
        <w:pStyle w:val="Footer"/>
        <w:tabs>
          <w:tab w:val="clear" w:pos="4320"/>
          <w:tab w:val="clear" w:pos="8640"/>
        </w:tabs>
        <w:spacing w:lineRule="exact" w:line="240"/>
        <w:rPr/>
      </w:pPr>
      <w:r>
        <w:rPr/>
        <w:tab/>
        <w:tab/>
        <w:tab/>
        <w:tab/>
        <w:tab/>
        <w:tab/>
        <w:tab/>
        <w:tab/>
        <w:tab/>
        <w:tab/>
        <w:t>ALJ Andrea Biren</w:t>
      </w:r>
    </w:p>
    <w:p>
      <w:pPr>
        <w:pStyle w:val="Normal"/>
        <w:spacing w:lineRule="exact" w:line="240"/>
        <w:rPr>
          <w:b w:val="false"/>
        </w:rPr>
      </w:pPr>
      <w:r>
        <w:rPr>
          <w:b w:val="false"/>
        </w:rPr>
        <w:t xml:space="preserve">                                                                                                                                                                    </w:t>
      </w:r>
    </w:p>
    <w:p>
      <w:pPr>
        <w:pStyle w:val="Normal"/>
        <w:spacing w:lineRule="exact" w:line="240"/>
        <w:rPr>
          <w:b w:val="false"/>
        </w:rPr>
      </w:pPr>
      <w:r>
        <w:rPr>
          <w:b w:val="false"/>
        </w:rPr>
      </w:r>
    </w:p>
    <w:p>
      <w:pPr>
        <w:pStyle w:val="Normal"/>
        <w:spacing w:lineRule="exact" w:line="240"/>
        <w:rPr>
          <w:b w:val="false"/>
        </w:rPr>
      </w:pPr>
      <w:r>
        <w:rPr>
          <w:b w:val="false"/>
        </w:rPr>
      </w:r>
    </w:p>
    <w:p>
      <w:pPr>
        <w:pStyle w:val="Normal"/>
        <w:spacing w:lineRule="exact" w:line="240"/>
        <w:jc w:val="center"/>
        <w:rPr/>
      </w:pPr>
      <w:r>
        <w:rPr/>
        <w:t xml:space="preserve">BEFORE THE PUBLIC UTILITIES COMMISSION </w:t>
      </w:r>
    </w:p>
    <w:p>
      <w:pPr>
        <w:pStyle w:val="Normal"/>
        <w:spacing w:lineRule="exact" w:line="240"/>
        <w:jc w:val="center"/>
        <w:rPr/>
      </w:pPr>
      <w:r>
        <w:rPr/>
      </w:r>
    </w:p>
    <w:p>
      <w:pPr>
        <w:pStyle w:val="Normal"/>
        <w:spacing w:lineRule="exact" w:line="240"/>
        <w:jc w:val="center"/>
        <w:rPr>
          <w:b w:val="false"/>
        </w:rPr>
      </w:pPr>
      <w:r>
        <w:rPr/>
        <w:t>OF THE STATE OF CALIFORNIA</w:t>
      </w:r>
    </w:p>
    <w:p>
      <w:pPr>
        <w:pStyle w:val="Normal"/>
        <w:tabs>
          <w:tab w:val="clear" w:pos="720"/>
          <w:tab w:val="left" w:pos="4410" w:leader="none"/>
        </w:tabs>
        <w:spacing w:lineRule="exact" w:line="240"/>
        <w:rPr>
          <w:b w:val="false"/>
        </w:rPr>
      </w:pPr>
      <w:r>
        <w:rPr>
          <w:b w:val="false"/>
        </w:rPr>
      </w:r>
    </w:p>
    <w:p>
      <w:pPr>
        <w:pStyle w:val="Normal"/>
        <w:tabs>
          <w:tab w:val="clear" w:pos="720"/>
          <w:tab w:val="left" w:pos="4410" w:leader="none"/>
        </w:tabs>
        <w:spacing w:lineRule="exact" w:line="240"/>
        <w:rPr>
          <w:b w:val="false"/>
        </w:rPr>
      </w:pPr>
      <w:r>
        <w:rPr>
          <w:b w:val="false"/>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spacing w:lineRule="exact" w:line="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tabs>
                <w:tab w:val="clear" w:pos="720"/>
                <w:tab w:val="left" w:pos="4410" w:leader="none"/>
              </w:tabs>
              <w:spacing w:lineRule="exact" w:line="240"/>
              <w:rPr/>
            </w:pPr>
            <w:r>
              <w:rPr/>
            </w:r>
          </w:p>
        </w:tc>
        <w:tc>
          <w:tcPr>
            <w:tcW w:w="270" w:type="dxa"/>
            <w:tcBorders/>
          </w:tcPr>
          <w:p>
            <w:pPr>
              <w:pStyle w:val="Normal"/>
              <w:tabs>
                <w:tab w:val="clear" w:pos="720"/>
                <w:tab w:val="left" w:pos="4410" w:leader="none"/>
              </w:tabs>
              <w:snapToGrid w:val="false"/>
              <w:spacing w:lineRule="exact" w:line="240"/>
              <w:rPr/>
            </w:pPr>
            <w:r>
              <w:rPr/>
            </w:r>
          </w:p>
        </w:tc>
        <w:tc>
          <w:tcPr>
            <w:tcW w:w="3528" w:type="dxa"/>
            <w:tcBorders/>
          </w:tcPr>
          <w:p>
            <w:pPr>
              <w:pStyle w:val="Normal"/>
              <w:tabs>
                <w:tab w:val="clear" w:pos="720"/>
                <w:tab w:val="left" w:pos="4410" w:leader="none"/>
              </w:tabs>
              <w:snapToGrid w:val="false"/>
              <w:spacing w:lineRule="exact" w:line="240"/>
              <w:rPr/>
            </w:pPr>
            <w:r>
              <w:rPr/>
            </w:r>
          </w:p>
          <w:p>
            <w:pPr>
              <w:pStyle w:val="Normal"/>
              <w:tabs>
                <w:tab w:val="clear" w:pos="720"/>
                <w:tab w:val="left" w:pos="4410" w:leader="none"/>
              </w:tabs>
              <w:spacing w:lineRule="exact" w:line="240"/>
              <w:rPr/>
            </w:pPr>
            <w:r>
              <w:rPr/>
            </w:r>
          </w:p>
          <w:p>
            <w:pPr>
              <w:pStyle w:val="Normal"/>
              <w:tabs>
                <w:tab w:val="clear" w:pos="720"/>
                <w:tab w:val="left" w:pos="4410" w:leader="none"/>
              </w:tabs>
              <w:spacing w:lineRule="exact" w:line="240"/>
              <w:rPr/>
            </w:pPr>
            <w:r>
              <w:rPr/>
              <w:t>I.99-07-003</w:t>
            </w:r>
          </w:p>
          <w:p>
            <w:pPr>
              <w:pStyle w:val="Normal"/>
              <w:tabs>
                <w:tab w:val="clear" w:pos="720"/>
                <w:tab w:val="left" w:pos="4410" w:leader="none"/>
              </w:tabs>
              <w:spacing w:lineRule="exact" w:line="240"/>
              <w:rPr/>
            </w:pPr>
            <w:r>
              <w:rPr/>
            </w:r>
          </w:p>
        </w:tc>
      </w:tr>
    </w:tbl>
    <w:p>
      <w:pPr>
        <w:pStyle w:val="Normal"/>
        <w:spacing w:lineRule="exact" w:line="240"/>
        <w:jc w:val="center"/>
        <w:rPr>
          <w:b w:val="false"/>
        </w:rPr>
      </w:pPr>
      <w:r>
        <w:rPr>
          <w:b w:val="false"/>
        </w:rPr>
      </w:r>
    </w:p>
    <w:p>
      <w:pPr>
        <w:pStyle w:val="Normal"/>
        <w:spacing w:before="120" w:after="0"/>
        <w:jc w:val="center"/>
        <w:rPr>
          <w:b w:val="false"/>
        </w:rPr>
      </w:pPr>
      <w:r>
        <w:rPr>
          <w:b w:val="false"/>
        </w:rPr>
      </w:r>
    </w:p>
    <w:p>
      <w:pPr>
        <w:pStyle w:val="Normal"/>
        <w:spacing w:before="120" w:after="0"/>
        <w:jc w:val="center"/>
        <w:rPr>
          <w:b w:val="false"/>
        </w:rPr>
      </w:pPr>
      <w:r>
        <w:rPr>
          <w:b w:val="false"/>
        </w:rPr>
      </w:r>
    </w:p>
    <w:p>
      <w:pPr>
        <w:pStyle w:val="Normal"/>
        <w:spacing w:before="120" w:after="0"/>
        <w:jc w:val="center"/>
        <w:rPr>
          <w:b w:val="false"/>
        </w:rPr>
      </w:pPr>
      <w:r>
        <w:rPr>
          <w:b w:val="false"/>
        </w:rPr>
      </w:r>
    </w:p>
    <w:p>
      <w:pPr>
        <w:pStyle w:val="Heading1"/>
        <w:tabs>
          <w:tab w:val="clear" w:pos="720"/>
          <w:tab w:val="center" w:pos="4680" w:leader="none"/>
        </w:tabs>
        <w:ind w:hanging="0" w:start="0"/>
        <w:rPr>
          <w:b w:val="false"/>
        </w:rPr>
      </w:pPr>
      <w:r>
        <w:rPr>
          <w:b w:val="false"/>
        </w:rPr>
      </w:r>
    </w:p>
    <w:p>
      <w:pPr>
        <w:pStyle w:val="Heading1"/>
        <w:tabs>
          <w:tab w:val="clear" w:pos="720"/>
          <w:tab w:val="center" w:pos="4680" w:leader="none"/>
        </w:tabs>
        <w:ind w:hanging="0" w:start="0"/>
        <w:rPr/>
      </w:pPr>
      <w:r>
        <w:rPr/>
      </w:r>
    </w:p>
    <w:p>
      <w:pPr>
        <w:pStyle w:val="Heading1"/>
        <w:tabs>
          <w:tab w:val="clear" w:pos="720"/>
          <w:tab w:val="center" w:pos="4680" w:leader="none"/>
        </w:tabs>
        <w:ind w:hanging="0" w:start="0"/>
        <w:rPr/>
      </w:pPr>
      <w:r>
        <w:rPr/>
      </w:r>
    </w:p>
    <w:p>
      <w:pPr>
        <w:pStyle w:val="Heading1"/>
        <w:tabs>
          <w:tab w:val="clear" w:pos="720"/>
          <w:tab w:val="center" w:pos="4680" w:leader="none"/>
        </w:tabs>
        <w:ind w:hanging="0" w:start="0"/>
        <w:rPr/>
      </w:pPr>
      <w:r>
        <w:rPr/>
      </w:r>
    </w:p>
    <w:p>
      <w:pPr>
        <w:pStyle w:val="Heading1"/>
        <w:tabs>
          <w:tab w:val="clear" w:pos="720"/>
          <w:tab w:val="center" w:pos="4680" w:leader="none"/>
        </w:tabs>
        <w:ind w:hanging="0" w:start="0"/>
        <w:rPr/>
      </w:pPr>
      <w:r>
        <w:rPr/>
      </w:r>
    </w:p>
    <w:p>
      <w:pPr>
        <w:pStyle w:val="Heading1"/>
        <w:tabs>
          <w:tab w:val="clear" w:pos="720"/>
          <w:tab w:val="center" w:pos="4680" w:leader="none"/>
        </w:tabs>
        <w:ind w:hanging="0" w:start="0"/>
        <w:rPr/>
      </w:pPr>
      <w:r>
        <w:rPr/>
      </w:r>
    </w:p>
    <w:p>
      <w:pPr>
        <w:pStyle w:val="Heading1"/>
        <w:tabs>
          <w:tab w:val="clear" w:pos="720"/>
          <w:tab w:val="center" w:pos="4680" w:leader="none"/>
        </w:tabs>
        <w:ind w:hanging="0" w:start="0"/>
        <w:rPr/>
      </w:pPr>
      <w:r>
        <w:rPr/>
      </w:r>
    </w:p>
    <w:p>
      <w:pPr>
        <w:pStyle w:val="Heading1"/>
        <w:tabs>
          <w:tab w:val="clear" w:pos="720"/>
          <w:tab w:val="center" w:pos="4680" w:leader="none"/>
        </w:tabs>
        <w:ind w:hanging="0" w:start="0"/>
        <w:rPr/>
      </w:pPr>
      <w:r>
        <w:rPr/>
        <w:t>Supplemental Direct Prepared Testimony of John Burkholder</w:t>
      </w:r>
    </w:p>
    <w:p>
      <w:pPr>
        <w:pStyle w:val="Normal"/>
        <w:tabs>
          <w:tab w:val="clear" w:pos="720"/>
          <w:tab w:val="center" w:pos="4680" w:leader="none"/>
        </w:tabs>
        <w:jc w:val="center"/>
        <w:rPr/>
      </w:pPr>
      <w:r>
        <w:rPr/>
      </w:r>
    </w:p>
    <w:p>
      <w:pPr>
        <w:pStyle w:val="Normal"/>
        <w:tabs>
          <w:tab w:val="clear" w:pos="720"/>
          <w:tab w:val="center" w:pos="4680" w:leader="none"/>
        </w:tabs>
        <w:jc w:val="center"/>
        <w:rPr/>
      </w:pPr>
      <w:r>
        <w:rPr/>
        <w:t>On Behalf of Western Hub Properties, LLC</w:t>
      </w:r>
    </w:p>
    <w:p>
      <w:pPr>
        <w:pStyle w:val="Normal"/>
        <w:tabs>
          <w:tab w:val="clear" w:pos="720"/>
          <w:tab w:val="center" w:pos="4680" w:leader="none"/>
        </w:tabs>
        <w:jc w:val="center"/>
        <w:rPr/>
      </w:pPr>
      <w:r>
        <w:rPr/>
      </w:r>
    </w:p>
    <w:p>
      <w:pPr>
        <w:pStyle w:val="Normal"/>
        <w:tabs>
          <w:tab w:val="clear" w:pos="720"/>
          <w:tab w:val="center" w:pos="4680" w:leader="none"/>
        </w:tabs>
        <w:jc w:val="center"/>
        <w:rPr/>
      </w:pPr>
      <w:r>
        <w:rPr/>
        <w:t>In Support of the Comprehensive Gas OII Settlement Agreement</w:t>
      </w:r>
    </w:p>
    <w:p>
      <w:pPr>
        <w:pStyle w:val="Normal"/>
        <w:tabs>
          <w:tab w:val="clear" w:pos="720"/>
          <w:tab w:val="center" w:pos="4680" w:leader="none"/>
        </w:tabs>
        <w:jc w:val="center"/>
        <w:rPr/>
      </w:pPr>
      <w:r>
        <w:rPr/>
      </w:r>
    </w:p>
    <w:p>
      <w:pPr>
        <w:pStyle w:val="Normal"/>
        <w:tabs>
          <w:tab w:val="clear" w:pos="720"/>
          <w:tab w:val="center" w:pos="4680" w:leader="none"/>
        </w:tabs>
        <w:jc w:val="center"/>
        <w:rPr/>
      </w:pPr>
      <w:r>
        <w:rPr/>
        <w:t>(Responding to Written Question of ALJ Biren)</w:t>
      </w:r>
      <w:r>
        <w:br w:type="page"/>
      </w:r>
    </w:p>
    <w:p>
      <w:pPr>
        <w:pStyle w:val="Normal"/>
        <w:tabs>
          <w:tab w:val="clear" w:pos="720"/>
          <w:tab w:val="center" w:pos="4680" w:leader="none"/>
        </w:tabs>
        <w:rPr/>
      </w:pPr>
      <w:r>
        <w:rPr/>
        <w:t xml:space="preserve">Q. 2.1.3.5:  </w:t>
        <w:tab/>
        <w:t>Why should we give carte blanche to an outside owner, who may have another storage facility, to have no ceiling price?  Will SoCal agree not to divest?</w:t>
      </w:r>
    </w:p>
    <w:p>
      <w:pPr>
        <w:pStyle w:val="Footer"/>
        <w:tabs>
          <w:tab w:val="clear" w:pos="4320"/>
          <w:tab w:val="clear" w:pos="8640"/>
        </w:tabs>
        <w:rPr/>
      </w:pPr>
      <w:r>
        <w:rPr/>
      </w:r>
    </w:p>
    <w:p>
      <w:pPr>
        <w:pStyle w:val="Normal"/>
        <w:rPr/>
      </w:pPr>
      <w:r>
        <w:rPr/>
        <w:t>A. 2.1.3.5:</w:t>
      </w:r>
      <w:r>
        <w:rPr>
          <w:b w:val="false"/>
        </w:rPr>
        <w:tab/>
        <w:t>WHP does not disagree with the answer provided by SoCalGas in its response regarding divestiture.  The response is entirely appropriate from SoCalGas’ perspective and is a correct interpretation of the divestiture provisions of the comprehensive settlement regarding storage, including the incentives provided for pricing flexibility.  As mentioned by SoCalGas in its response, WHP agrees market power was a factor in this issue.</w:t>
      </w:r>
    </w:p>
    <w:p>
      <w:pPr>
        <w:pStyle w:val="Normal"/>
        <w:rPr>
          <w:b w:val="false"/>
        </w:rPr>
      </w:pPr>
      <w:r>
        <w:rPr>
          <w:b w:val="false"/>
        </w:rPr>
      </w:r>
    </w:p>
    <w:p>
      <w:pPr>
        <w:pStyle w:val="Normal"/>
        <w:ind w:firstLine="720" w:end="0"/>
        <w:rPr/>
      </w:pPr>
      <w:r>
        <w:rPr>
          <w:b w:val="false"/>
        </w:rPr>
        <w:t>It is the first part of the question to which WHP wishes to respond further, especially the notion of giving “carte blanche” to other storage providers.  The issue of a ceiling price, floor, and generally the issue of utility pricing flexibility, was a very contentious issue in the negotiations of the Comprehensive Settlement.  From the beginning of negotiations, WHP participated in every discussion on this issue.  This proceeding, however, is not about the pricing flexibility of “outside owners”.  The Commission conducts separate proceedings that certificate storage projects, such as the facility for Lodi Gas Storage, LLC (LGS), a WHP subsidiary, in Lodi, and owners of those projects must file rates with the Commission, which are subject to approval.  However, unlike the treatment for SoCalGas, the Commission’s policy for 3</w:t>
      </w:r>
      <w:r>
        <w:rPr>
          <w:b w:val="false"/>
          <w:vertAlign w:val="superscript"/>
        </w:rPr>
        <w:t>rd</w:t>
      </w:r>
      <w:r>
        <w:rPr>
          <w:b w:val="false"/>
        </w:rPr>
        <w:t xml:space="preserve"> party storage providers is that they are 100% at risk for the recovery of all capital and other investments, and  ratepayers are in no manner whatsoever responsible for any cost recovery.  LGS, for example, will be investing in the neighborhood of $60 to $80 million dollars in its Lodi facility, with no guarantee of any recovery of those dollars.  For this reason, Commission policy grants these 3</w:t>
      </w:r>
      <w:r>
        <w:rPr>
          <w:b w:val="false"/>
          <w:vertAlign w:val="superscript"/>
        </w:rPr>
        <w:t>rd</w:t>
      </w:r>
      <w:r>
        <w:rPr>
          <w:b w:val="false"/>
        </w:rPr>
        <w:t xml:space="preserve"> party storage providers rates that are “market-based”, which essentially means the rates are whatever the market is willing to pay for them, with competitive forces keeping them reasonable.  SoCalGas characterizes this as imposing no pricing limitation, but it is hardly the case that 3</w:t>
      </w:r>
      <w:r>
        <w:rPr>
          <w:b w:val="false"/>
          <w:vertAlign w:val="superscript"/>
        </w:rPr>
        <w:t>rd</w:t>
      </w:r>
      <w:r>
        <w:rPr>
          <w:b w:val="false"/>
        </w:rPr>
        <w:t xml:space="preserve"> party storage providers are being “given” anything regarding pricing and cost recovery.</w:t>
      </w:r>
    </w:p>
    <w:p>
      <w:pPr>
        <w:pStyle w:val="Normal"/>
        <w:rPr>
          <w:b w:val="false"/>
        </w:rPr>
      </w:pPr>
      <w:r>
        <w:rPr>
          <w:b w:val="false"/>
        </w:rPr>
      </w:r>
    </w:p>
    <w:p>
      <w:pPr>
        <w:pStyle w:val="BodyTextIndent2"/>
        <w:rPr/>
      </w:pPr>
      <w:r>
        <w:rPr/>
        <w:t>The Commission direction regarding storage pricing is in D. 99-07-015, which states on page 23 that:  “In the absence of meaningful competition, it is not a promising option to grant SoCalGas unlimited ability to control prices and supply.  Some pricing flexibility may be appropriate if the company’s shareholders assume the risk for recovery of storage costs.”  WHP believes the provisions of the Comprehensive Settlement strikes a balance concerning these controversial issues, and that this balance is one the Commission should recognize as accomplishing its vision in this proceeding.  It levels the playing field.</w:t>
      </w:r>
    </w:p>
    <w:p>
      <w:pPr>
        <w:pStyle w:val="BodyTextIndent"/>
        <w:ind w:start="0" w:end="0"/>
        <w:rPr/>
      </w:pPr>
      <w:r>
        <w:rPr/>
      </w:r>
    </w:p>
    <w:p>
      <w:pPr>
        <w:pStyle w:val="BodyTextIndent"/>
        <w:ind w:firstLine="720" w:start="0" w:end="0"/>
        <w:rPr/>
      </w:pPr>
      <w:r>
        <w:rPr/>
        <w:t>Finally, there seems to be an implication in this question that a purchaser of a SoCalGas storage facility, that might also own another storage facility, should be subject to the same pricing provisions as SoCalGas.  The amount of storage capacity SoCalGas could divest to accelerate its pricing flexibility is just 20%, leaving it with 80% of the total storage capacity in southern California, which would leave SoCalGas as the dominant provider of storage services in southern California.  Again, however, WHP believes that the provisions of the Comprehensive Settlement strikes a balance between the stakeholders on this issue, and completely supports the Comprehensive Settlement.</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1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lish111 Vivace BT">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b/>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style>
  <w:style w:type="paragraph" w:styleId="Heading2">
    <w:name w:val="heading 2"/>
    <w:basedOn w:val="Normal"/>
    <w:next w:val="Normal"/>
    <w:qFormat/>
    <w:pPr>
      <w:keepNext w:val="true"/>
      <w:numPr>
        <w:ilvl w:val="1"/>
        <w:numId w:val="1"/>
      </w:numPr>
      <w:tabs>
        <w:tab w:val="clear" w:pos="720"/>
        <w:tab w:val="center" w:pos="4680" w:leader="none"/>
      </w:tabs>
      <w:jc w:val="end"/>
      <w:outlineLvl w:val="1"/>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English111 Vivace BT" w:hAnsi="English111 Vivace BT" w:cs="Arial"/>
      <w:b w:val="false"/>
      <w:sz w:val="36"/>
      <w:szCs w:val="24"/>
    </w:rPr>
  </w:style>
  <w:style w:type="paragraph" w:styleId="BodyTextIndent">
    <w:name w:val="Body Text Indent"/>
    <w:basedOn w:val="Normal"/>
    <w:pPr>
      <w:ind w:hanging="0" w:start="720" w:end="0"/>
    </w:pPr>
    <w:rPr>
      <w:b w:val="false"/>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pPr>
    <w:rPr>
      <w:b w:val="false"/>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2000-07-05T15:08:00Z</dcterms:created>
  <dc:creator>John Burkholder</dc:creator>
  <dc:description/>
  <dc:language>en-CA</dc:language>
  <cp:lastModifiedBy>John Burkholder</cp:lastModifiedBy>
  <cp:lastPrinted>2000-06-04T11:52:00Z</cp:lastPrinted>
  <dcterms:modified xsi:type="dcterms:W3CDTF">2000-07-05T15:08:00Z</dcterms:modified>
  <cp:revision>2</cp:revision>
  <dc:subject/>
  <dc:title>WHP (JB) response to ALJ Biren C</dc:title>
</cp:coreProperties>
</file>