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jc w:val="center"/>
        <w:rPr>
          <w:b/>
        </w:rPr>
      </w:pPr>
      <w:r>
        <w:rPr>
          <w:b/>
        </w:rPr>
        <w:t>RESPONSES OF SUPPORTERS OF THE POST-INTERIM SETTLEMENT</w:t>
      </w:r>
    </w:p>
    <w:p>
      <w:pPr>
        <w:pStyle w:val="Normal"/>
        <w:jc w:val="center"/>
        <w:rPr>
          <w:b/>
        </w:rPr>
      </w:pPr>
      <w:r>
        <w:rPr>
          <w:b/>
        </w:rPr>
      </w:r>
    </w:p>
    <w:p>
      <w:pPr>
        <w:pStyle w:val="Normal"/>
        <w:jc w:val="center"/>
        <w:rPr>
          <w:b/>
        </w:rPr>
      </w:pPr>
      <w:r>
        <w:rPr>
          <w:b/>
        </w:rPr>
        <w:t>TO QUESTIONS POSED BY ALJ BIREN</w:t>
      </w:r>
    </w:p>
    <w:p>
      <w:pPr>
        <w:pStyle w:val="Normal"/>
        <w:jc w:val="center"/>
        <w:rPr>
          <w:b/>
        </w:rPr>
      </w:pPr>
      <w:r>
        <w:rPr>
          <w:b/>
        </w:rPr>
      </w:r>
    </w:p>
    <w:p>
      <w:pPr>
        <w:pStyle w:val="Normal"/>
        <w:rPr>
          <w:b/>
          <w:lang w:val="en-CA"/>
        </w:rPr>
      </w:pPr>
      <w:r>
        <w:rPr>
          <w:b/>
          <w:lang w:val="en-CA"/>
        </w:rPr>
        <mc:AlternateContent>
          <mc:Choice Requires="wps">
            <w:drawing>
              <wp:anchor behindDoc="0" distT="0" distB="0" distL="114935" distR="114935" simplePos="0" locked="0" layoutInCell="1" allowOverlap="1" relativeHeight="21">
                <wp:simplePos x="0" y="0"/>
                <wp:positionH relativeFrom="column">
                  <wp:posOffset>91440</wp:posOffset>
                </wp:positionH>
                <wp:positionV relativeFrom="paragraph">
                  <wp:posOffset>45720</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3.6pt" to="475.15pt,3.6pt" stroked="t" o:allowincell="f" style="position:absolute">
                <v:stroke color="black" weight="9360" joinstyle="miter" endcap="flat"/>
                <v:fill o:detectmouseclick="t" on="false"/>
                <w10:wrap type="none"/>
              </v:line>
            </w:pict>
          </mc:Fallback>
        </mc:AlternateContent>
      </w:r>
    </w:p>
    <w:p>
      <w:pPr>
        <w:pStyle w:val="Normal"/>
        <w:jc w:val="center"/>
        <w:rPr>
          <w:b/>
        </w:rPr>
      </w:pPr>
      <w:r>
        <w:rPr>
          <w:b/>
        </w:rPr>
      </w:r>
    </w:p>
    <w:p>
      <w:pPr>
        <w:pStyle w:val="Normal"/>
        <w:jc w:val="center"/>
        <w:rPr>
          <w:b/>
        </w:rPr>
      </w:pPr>
      <w:r>
        <w:rPr>
          <w:b/>
        </w:rPr>
      </w:r>
    </w:p>
    <w:p>
      <w:pPr>
        <w:pStyle w:val="Normal"/>
        <w:rPr>
          <w:b/>
        </w:rPr>
      </w:pPr>
      <w:r>
        <w:rPr>
          <w:b/>
        </w:rPr>
        <w:t>PART A:</w:t>
        <w:tab/>
        <w:t>GENERAL QUESTIONS</w:t>
      </w:r>
    </w:p>
    <w:p>
      <w:pPr>
        <w:pStyle w:val="Normal"/>
        <w:rPr/>
      </w:pPr>
      <w:r>
        <w:rPr/>
      </w:r>
    </w:p>
    <w:p>
      <w:pPr>
        <w:pStyle w:val="Normal"/>
        <w:numPr>
          <w:ilvl w:val="0"/>
          <w:numId w:val="10"/>
        </w:numPr>
        <w:rPr/>
      </w:pPr>
      <w:r>
        <w:rPr/>
        <w:t>Please provide a schedule (timeline) for all of the various changes discussed in the Settlement.</w:t>
      </w:r>
    </w:p>
    <w:p>
      <w:pPr>
        <w:pStyle w:val="Normal"/>
        <w:rPr>
          <w:b/>
        </w:rPr>
      </w:pPr>
      <w:r>
        <w:rPr>
          <w:b/>
        </w:rPr>
      </w:r>
    </w:p>
    <w:p>
      <w:pPr>
        <w:pStyle w:val="Normal"/>
        <w:ind w:start="720" w:end="0"/>
        <w:rPr/>
      </w:pPr>
      <w:r>
        <w:rPr/>
        <w:t>The following table provides the requested timeline.  The phrase "Eff. date" (effective date) refers to the first day of the second month after approval (see Section II).</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IS/PI Settlement Provision</w:t>
            </w:r>
          </w:p>
          <w:p>
            <w:pPr>
              <w:pStyle w:val="Normal"/>
              <w:rPr/>
            </w:pPr>
            <w:r>
              <w:rPr/>
            </w:r>
          </w:p>
        </w:tc>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Implementation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Termination Date</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TRANSMISSION</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75/25 risk sharing</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6/1/00</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Eliminate windowing</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OFO procedures</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Hector Road</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Wheeler Ridge expansion criteria</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Create receipt point pools</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STORAGE</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Secondary market for       contract assignment</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Voluntary EBB for storage assignment</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Adopt BCAP alloc. to core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Unbundle nonreliability storage (priced at LRMC) for CTAs</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Postpone further unbundling</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12/31/02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50/50 risk sharing</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6/1/00</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12/31/02</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Utility 100% at risk for unbundled storage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1/1/03</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8/31/06</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Remove Montebello from rates</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9/16/99</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N/A</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BALANCING</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Core/Noncore parity</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Imbalance charge, without cash-out</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Liberalized monthly trading</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Daily and winter imbalance trading</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Adopt BCAP alloc. to balancing</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6/1/00</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Balancing costs remain bundled</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Hub revenues remain in GCIM</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6/1/00</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b/>
              </w:rPr>
            </w:pPr>
            <w:r>
              <w:rPr>
                <w:b/>
              </w:rPr>
              <w:t>CORE PROCUREMENT</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Rules and penalties</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192" w:type="dxa"/>
            <w:tcBorders>
              <w:top w:val="single" w:sz="4" w:space="0" w:color="000000"/>
              <w:start w:val="single" w:sz="4" w:space="0" w:color="000000"/>
              <w:end w:val="single" w:sz="4" w:space="0" w:color="000000"/>
            </w:tcBorders>
          </w:tcPr>
          <w:p>
            <w:pPr>
              <w:pStyle w:val="Normal"/>
              <w:rPr/>
            </w:pPr>
            <w:r>
              <w:rPr/>
              <w:t xml:space="preserve">     </w:t>
            </w:r>
            <w:r>
              <w:rPr/>
              <w:t>Eliminate core ITCS (75/25 noncore/utility sharing)</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1/1/02</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Unbundle interstate capacity for CTA customers (50/50 stranded cost allocation between core transport/sales); (proportional C&amp;I/Residential allocation)</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Eff. Date</w:t>
            </w:r>
          </w:p>
        </w:tc>
        <w:tc>
          <w:tcPr>
            <w:tcW w:w="3192" w:type="dxa"/>
            <w:tcBorders>
              <w:top w:val="single" w:sz="4" w:space="0" w:color="000000"/>
              <w:start w:val="single" w:sz="4" w:space="0" w:color="000000"/>
              <w:bottom w:val="single" w:sz="4" w:space="0" w:color="000000"/>
              <w:end w:val="single" w:sz="4" w:space="0" w:color="000000"/>
            </w:tcBorders>
          </w:tcPr>
          <w:p>
            <w:pPr>
              <w:pStyle w:val="Normal"/>
              <w:rPr/>
            </w:pPr>
            <w:r>
              <w:rPr/>
              <w:t>Indef.</w:t>
            </w:r>
          </w:p>
        </w:tc>
      </w:tr>
    </w:tbl>
    <w:p>
      <w:pPr>
        <w:pStyle w:val="Normal"/>
        <w:rPr/>
      </w:pPr>
      <w:r>
        <w:rPr/>
      </w:r>
    </w:p>
    <w:p>
      <w:pPr>
        <w:pStyle w:val="Normal"/>
        <w:rPr/>
      </w:pPr>
      <w:r>
        <w:rPr/>
      </w:r>
    </w:p>
    <w:p>
      <w:pPr>
        <w:pStyle w:val="Normal"/>
        <w:numPr>
          <w:ilvl w:val="0"/>
          <w:numId w:val="10"/>
        </w:numPr>
        <w:rPr/>
      </w:pPr>
      <w:r>
        <w:rPr/>
        <w:t>Are the supporters of the Post-Interim ("PI") settlement opposed to intrastate unbundling under any conditions?  Is there any likelihood that you would support intrastate unbundling after 12-31-02?</w:t>
      </w:r>
    </w:p>
    <w:p>
      <w:pPr>
        <w:pStyle w:val="Normal"/>
        <w:rPr/>
      </w:pPr>
      <w:r>
        <w:rPr/>
      </w:r>
    </w:p>
    <w:p>
      <w:pPr>
        <w:pStyle w:val="Normal"/>
        <w:spacing w:lineRule="auto" w:line="480"/>
        <w:ind w:start="720" w:end="0"/>
        <w:rPr/>
      </w:pPr>
      <w:r>
        <w:rPr/>
        <w:t xml:space="preserve">The PI precludes intrastate transmission unbundling through the entire term (until September 1, 2006) of the settlement.  </w:t>
      </w:r>
      <w:r>
        <w:rPr>
          <w:u w:val="single"/>
        </w:rPr>
        <w:t>See</w:t>
      </w:r>
      <w:r>
        <w:rPr/>
        <w:t xml:space="preserve"> §3.1.  The PI signatories support this provision.</w:t>
      </w:r>
    </w:p>
    <w:p>
      <w:pPr>
        <w:pStyle w:val="Normal"/>
        <w:numPr>
          <w:ilvl w:val="0"/>
          <w:numId w:val="10"/>
        </w:numPr>
        <w:rPr/>
      </w:pPr>
      <w:r>
        <w:rPr/>
        <w:t>Same questions as above regarding the self-balancing option.</w:t>
      </w:r>
    </w:p>
    <w:p>
      <w:pPr>
        <w:pStyle w:val="Normal"/>
        <w:rPr/>
      </w:pPr>
      <w:r>
        <w:rPr/>
      </w:r>
    </w:p>
    <w:p>
      <w:pPr>
        <w:pStyle w:val="Normal"/>
        <w:spacing w:lineRule="auto" w:line="480"/>
        <w:ind w:start="720" w:end="0"/>
        <w:rPr/>
      </w:pPr>
      <w:r>
        <w:rPr/>
        <w:t>The PI precludes further storage unbundling (including storage for balancing) through December 31, 2002.  See §6.1 and 5.1.  The position of the PI supporters is that further unbundling of balancing, including a self-balancing option, should be addressed only after 12/31/02.  This would allow a period of time to evaluate the effects of changes implemented by the PI that affect reliability (e.g., eliminating windowing, switch to OFOs, etc.).  See Exh. 101, §4.3, p. 31; Exh. 102, §4.2, p. 35.</w:t>
      </w:r>
    </w:p>
    <w:p>
      <w:pPr>
        <w:pStyle w:val="Normal"/>
        <w:ind w:start="720" w:end="0"/>
        <w:rPr/>
      </w:pPr>
      <w:r>
        <w:rPr/>
      </w:r>
    </w:p>
    <w:p>
      <w:pPr>
        <w:pStyle w:val="Normal"/>
        <w:numPr>
          <w:ilvl w:val="0"/>
          <w:numId w:val="10"/>
        </w:numPr>
        <w:rPr/>
      </w:pPr>
      <w:r>
        <w:rPr/>
        <w:t>List all of the fees and potential penalties/noncompliance charges described by the Agreement.  For each case explain which customers these fees and penalties/charges would be collected from and how they would be allocated.  If it is not yet known how they would be allocated, state the proceeding in which the allocation would be made.</w:t>
      </w:r>
    </w:p>
    <w:p>
      <w:pPr>
        <w:pStyle w:val="Normal"/>
        <w:jc w:val="center"/>
        <w:rPr/>
      </w:pPr>
      <w:r>
        <w:rPr/>
      </w:r>
    </w:p>
    <w:p>
      <w:pPr>
        <w:pStyle w:val="Normal"/>
        <w:spacing w:lineRule="auto" w:line="480"/>
        <w:ind w:start="720" w:end="0"/>
        <w:rPr/>
      </w:pPr>
      <w:r>
        <w:rPr/>
        <w:t>The Interim Settlement ("IS") provides for penalties, noncompliance charges, and fees which would be applied to all customers, both core and noncore, and an allocation of resulting revenues as follows:</w:t>
      </w:r>
    </w:p>
    <w:p>
      <w:pPr>
        <w:pStyle w:val="Normal"/>
        <w:numPr>
          <w:ilvl w:val="0"/>
          <w:numId w:val="11"/>
        </w:numPr>
        <w:tabs>
          <w:tab w:val="clear" w:pos="720"/>
          <w:tab w:val="left" w:pos="1080" w:leader="none"/>
        </w:tabs>
        <w:spacing w:lineRule="auto" w:line="480"/>
        <w:ind w:hanging="360" w:start="1080" w:end="0"/>
        <w:rPr/>
      </w:pPr>
      <w:r>
        <w:rPr/>
        <w:t>OFO and winter balancing imbalance charge (both core and noncore):  100% of daily index price for spot market at Southern California border. (The OFO and winter balancing rule imbalance charge will be 50% of the daily index price in the winter when storage inventory is at such a level that the balancing requirement is 50% of consumption measured over a 5-day period.  An imbalance charge of 100% of the daily index price will apply in the winter when storage inventory has fallen to a level that triggers a 70% or 90% daily balancing requirement.)  IS, at 13.</w:t>
      </w:r>
    </w:p>
    <w:p>
      <w:pPr>
        <w:pStyle w:val="Normal"/>
        <w:numPr>
          <w:ilvl w:val="0"/>
          <w:numId w:val="11"/>
        </w:numPr>
        <w:tabs>
          <w:tab w:val="clear" w:pos="720"/>
          <w:tab w:val="left" w:pos="1080" w:leader="none"/>
        </w:tabs>
        <w:spacing w:lineRule="auto" w:line="480"/>
        <w:ind w:hanging="360" w:start="1080" w:end="0"/>
        <w:rPr/>
      </w:pPr>
      <w:r>
        <w:rPr/>
        <w:t xml:space="preserve">Summer emergency OFO imbalance charge: $25 per dth for positive imbalances in excess of applicable 10% tolerance.  (IS, at 13).  </w:t>
      </w:r>
    </w:p>
    <w:p>
      <w:pPr>
        <w:pStyle w:val="Normal"/>
        <w:numPr>
          <w:ilvl w:val="0"/>
          <w:numId w:val="11"/>
        </w:numPr>
        <w:tabs>
          <w:tab w:val="clear" w:pos="720"/>
          <w:tab w:val="left" w:pos="1080" w:leader="none"/>
        </w:tabs>
        <w:spacing w:lineRule="auto" w:line="480"/>
        <w:ind w:hanging="360" w:start="1080" w:end="0"/>
        <w:rPr/>
      </w:pPr>
      <w:r>
        <w:rPr/>
        <w:t>Monthly imbalance charge: 50% of average of spot index California border prices over the relevant month.</w:t>
      </w:r>
    </w:p>
    <w:p>
      <w:pPr>
        <w:pStyle w:val="Normal"/>
        <w:numPr>
          <w:ilvl w:val="0"/>
          <w:numId w:val="11"/>
        </w:numPr>
        <w:tabs>
          <w:tab w:val="clear" w:pos="720"/>
          <w:tab w:val="left" w:pos="1080" w:leader="none"/>
        </w:tabs>
        <w:spacing w:lineRule="auto" w:line="480"/>
        <w:ind w:hanging="360" w:start="1080" w:end="0"/>
        <w:rPr/>
      </w:pPr>
      <w:r>
        <w:rPr/>
        <w:t xml:space="preserve">Imbalance charge revenues will be applied to reduce customer transportation charges on an equal cents per therm basis. IS, at 13. </w:t>
      </w:r>
    </w:p>
    <w:p>
      <w:pPr>
        <w:pStyle w:val="Normal"/>
        <w:numPr>
          <w:ilvl w:val="0"/>
          <w:numId w:val="11"/>
        </w:numPr>
        <w:tabs>
          <w:tab w:val="clear" w:pos="720"/>
          <w:tab w:val="left" w:pos="1080" w:leader="none"/>
        </w:tabs>
        <w:spacing w:lineRule="auto" w:line="480"/>
        <w:ind w:hanging="360" w:start="1080" w:end="0"/>
        <w:rPr/>
      </w:pPr>
      <w:r>
        <w:rPr/>
        <w:t>An administrative fee of $50 will be charged for each pool-to-pool transfer after 10 pool-to-pool transfers, per pool, per day.  This administrative fee is a control mechanism designed to control excessive pool-to-pool transfers that could jeopardize processing time and title tracking.  A pool-to-pool transfer occurs when gas leaves a legal entity's pool and enters another pool.  The legal entity that delivers gas from its pool incurs the fee.  Thus, each legal entity will be allowed ten free transfers from its pool to other pools each day.  A rollover of pool-to-pool transfers from cycle-to-cycle within a day will not be assessed an administrative fee.  IS, Appendix B.</w:t>
      </w:r>
    </w:p>
    <w:p>
      <w:pPr>
        <w:pStyle w:val="Normal"/>
        <w:numPr>
          <w:ilvl w:val="0"/>
          <w:numId w:val="11"/>
        </w:numPr>
        <w:tabs>
          <w:tab w:val="clear" w:pos="720"/>
          <w:tab w:val="left" w:pos="1080" w:leader="none"/>
        </w:tabs>
        <w:spacing w:lineRule="auto" w:line="480"/>
        <w:ind w:hanging="360" w:start="1080" w:end="0"/>
        <w:rPr/>
      </w:pPr>
      <w:r>
        <w:rPr/>
        <w:t>No separate fees shall be permitted for use of the EBB established to facilitate assignment of rights to unbundled storage service in the secondary market.  IS, at 13.  Likewise, no fees will be charged for imbalance trading.</w:t>
      </w:r>
    </w:p>
    <w:p>
      <w:pPr>
        <w:pStyle w:val="Normal"/>
        <w:rPr/>
      </w:pPr>
      <w:r>
        <w:rPr/>
      </w:r>
    </w:p>
    <w:p>
      <w:pPr>
        <w:pStyle w:val="Normal"/>
        <w:numPr>
          <w:ilvl w:val="0"/>
          <w:numId w:val="10"/>
        </w:numPr>
        <w:rPr/>
      </w:pPr>
      <w:r>
        <w:rPr/>
        <w:t>List the changes on the SDG&amp;E system associated with this Agreement.</w:t>
      </w:r>
    </w:p>
    <w:p>
      <w:pPr>
        <w:pStyle w:val="Normal"/>
        <w:rPr/>
      </w:pPr>
      <w:r>
        <w:rPr/>
      </w:r>
    </w:p>
    <w:p>
      <w:pPr>
        <w:pStyle w:val="Normal"/>
        <w:ind w:start="720" w:end="0"/>
        <w:rPr/>
      </w:pPr>
      <w:r>
        <w:rPr/>
        <w:t>The PI does not enact any changes on the SDG&amp;E system.</w:t>
      </w:r>
    </w:p>
    <w:p>
      <w:pPr>
        <w:pStyle w:val="Normal"/>
        <w:ind w:start="720" w:end="0"/>
        <w:rPr/>
      </w:pPr>
      <w:r>
        <w:rPr/>
      </w:r>
    </w:p>
    <w:p>
      <w:pPr>
        <w:pStyle w:val="Normal"/>
        <w:numPr>
          <w:ilvl w:val="0"/>
          <w:numId w:val="10"/>
        </w:numPr>
        <w:rPr/>
      </w:pPr>
      <w:r>
        <w:rPr/>
        <w:t>Does the Settlement Agreement have any impact on the RLS tariff or how the RLS rate is calculated?  Regarding the Commission's BCAP decision on the RLS tariff: is it still necessary to develop a peaking rate?  Does the Agreement provide SoCalGas the flexibility to either retain, modify or terminate the RLS tariff?</w:t>
      </w:r>
    </w:p>
    <w:p>
      <w:pPr>
        <w:pStyle w:val="Normal"/>
        <w:rPr/>
      </w:pPr>
      <w:r>
        <w:rPr/>
      </w:r>
    </w:p>
    <w:p>
      <w:pPr>
        <w:pStyle w:val="Normal"/>
        <w:spacing w:lineRule="auto" w:line="480"/>
        <w:ind w:start="720" w:end="0"/>
        <w:rPr/>
      </w:pPr>
      <w:r>
        <w:rPr/>
        <w:t>The PI does not affect the RLS tariff or any successor to the RLS tariff.  The PI is neutral with respect to the need for a peaking rate.  PI, §3.2.  The PI provides SoCalGas with full flexibility to retain, modify or terminate the RLS tariff.</w:t>
      </w:r>
    </w:p>
    <w:p>
      <w:pPr>
        <w:pStyle w:val="Normal"/>
        <w:rPr/>
      </w:pPr>
      <w:r>
        <w:rPr/>
      </w:r>
    </w:p>
    <w:p>
      <w:pPr>
        <w:pStyle w:val="Normal"/>
        <w:numPr>
          <w:ilvl w:val="0"/>
          <w:numId w:val="10"/>
        </w:numPr>
        <w:rPr/>
      </w:pPr>
      <w:r>
        <w:rPr/>
        <w:t>Fully describe the impact of the Settlement Agreement on the functioning of the SoCalGas and SDG&amp;E base rate PBRs, and on the revenues, revenue requirements, and revenue sharing subject to those PBRs.  For instance, will implementation costs up to $3.5 million be added to authorized PBR revenue requirement or will these costs be excluded from PBR treatment and collected in a separate account?  Fully describe the impact of the Settlement Agreement on the functioning of the GCIM.</w:t>
      </w:r>
    </w:p>
    <w:p>
      <w:pPr>
        <w:pStyle w:val="Normal"/>
        <w:rPr/>
      </w:pPr>
      <w:r>
        <w:rPr/>
      </w:r>
    </w:p>
    <w:p>
      <w:pPr>
        <w:pStyle w:val="Normal"/>
        <w:spacing w:lineRule="auto" w:line="480"/>
        <w:ind w:start="720" w:end="0"/>
        <w:rPr/>
      </w:pPr>
      <w:r>
        <w:rPr/>
        <w:t>The IS projects that the cost of developing and implementing new or enhanced computer systems necessary for implementing secondary market trading of storage rights and for pooling will be $2.7 million.  The costs associated with developing and implementing the enhanced computer system will be booked to an account ("Implementation Account") to be established by SoCalGas.  The total capitalized amount that SoCalGas is permitted to book to the Account shall not exceed $3.5 million.  SoCalGas shall book any pooling fees as a credit against the revenue requirement associated with the capital costs that are booked to the Account.  See IS, Appendix B regarding $50 charge per transaction for excess pooling transactions.  SoCalGas shall refund in rates any amount by which pooling fees exceed the revenue requirement associated with the costs booked to the Account.  Allocation of the revenue requirement and revenues associated with the Account is not resolved by the Settlement.  Allocation issues are left to the next SoCalGas BCAP or other appropriate proceeding.</w:t>
      </w:r>
    </w:p>
    <w:p>
      <w:pPr>
        <w:pStyle w:val="Normal"/>
        <w:ind w:start="720" w:end="0"/>
        <w:rPr/>
      </w:pPr>
      <w:r>
        <w:rPr/>
      </w:r>
    </w:p>
    <w:p>
      <w:pPr>
        <w:pStyle w:val="Normal"/>
        <w:spacing w:lineRule="auto" w:line="480"/>
        <w:ind w:start="720" w:end="0"/>
        <w:rPr/>
      </w:pPr>
      <w:r>
        <w:rPr/>
        <w:t>Insofar as the settlement parties committed that SoCalGas will be entitled to recover through transportation rates or Commission-approved fees the revenue requirement associated with the costs booked to the Implementation Account,  recovery of the revenue requirement is excluded from the operation of the base rate PBR.</w:t>
      </w:r>
    </w:p>
    <w:p>
      <w:pPr>
        <w:pStyle w:val="Normal"/>
        <w:ind w:start="720" w:end="0"/>
        <w:rPr/>
      </w:pPr>
      <w:r>
        <w:rPr/>
      </w:r>
    </w:p>
    <w:p>
      <w:pPr>
        <w:pStyle w:val="Normal"/>
        <w:spacing w:lineRule="auto" w:line="480"/>
        <w:ind w:start="720" w:end="0"/>
        <w:rPr/>
      </w:pPr>
      <w:r>
        <w:rPr/>
        <w:t>The Interim Settlement would expressly have no impact on the SoCalGas GCIM and would preserve the GCIM in place in its current form until December 31, 2002.</w:t>
      </w:r>
    </w:p>
    <w:p>
      <w:pPr>
        <w:pStyle w:val="Normal"/>
        <w:ind w:start="720" w:end="0"/>
        <w:rPr/>
      </w:pPr>
      <w:r>
        <w:rPr/>
      </w:r>
    </w:p>
    <w:p>
      <w:pPr>
        <w:pStyle w:val="Normal"/>
        <w:numPr>
          <w:ilvl w:val="0"/>
          <w:numId w:val="10"/>
        </w:numPr>
        <w:rPr/>
      </w:pPr>
      <w:r>
        <w:rPr/>
        <w:t>Is Core Subscription affected by this settlement?</w:t>
      </w:r>
    </w:p>
    <w:p>
      <w:pPr>
        <w:pStyle w:val="Normal"/>
        <w:rPr/>
      </w:pPr>
      <w:r>
        <w:rPr/>
      </w:r>
    </w:p>
    <w:p>
      <w:pPr>
        <w:pStyle w:val="Normal"/>
        <w:rPr/>
      </w:pPr>
      <w:r>
        <w:rPr/>
        <w:tab/>
        <w:t>This response has been provided through direct examination.</w:t>
      </w:r>
    </w:p>
    <w:p>
      <w:pPr>
        <w:pStyle w:val="Normal"/>
        <w:rPr/>
      </w:pPr>
      <w:r>
        <w:rPr/>
      </w:r>
      <w:r>
        <w:br w:type="page"/>
      </w:r>
    </w:p>
    <w:p>
      <w:pPr>
        <w:pStyle w:val="Normal"/>
        <w:jc w:val="center"/>
        <w:rPr>
          <w:b/>
        </w:rPr>
      </w:pPr>
      <w:r>
        <w:rPr>
          <w:b/>
        </w:rPr>
        <w:t>RESPONSES OF SUPPORTERS OF THE POST-INTERIM SETTLEMENT</w:t>
      </w:r>
    </w:p>
    <w:p>
      <w:pPr>
        <w:pStyle w:val="Normal"/>
        <w:jc w:val="center"/>
        <w:rPr>
          <w:b/>
        </w:rPr>
      </w:pPr>
      <w:r>
        <w:rPr>
          <w:b/>
        </w:rPr>
      </w:r>
    </w:p>
    <w:p>
      <w:pPr>
        <w:pStyle w:val="Normal"/>
        <w:pBdr>
          <w:bottom w:val="single" w:sz="12" w:space="1" w:color="000000"/>
        </w:pBdr>
        <w:jc w:val="center"/>
        <w:rPr>
          <w:b/>
        </w:rPr>
      </w:pPr>
      <w:r>
        <w:rPr>
          <w:b/>
        </w:rPr>
        <w:t>TO QUESTIONS POSED BY ALJ BIREN</w:t>
      </w:r>
    </w:p>
    <w:p>
      <w:pPr>
        <w:pStyle w:val="Normal"/>
        <w:jc w:val="center"/>
        <w:rPr>
          <w:b/>
        </w:rPr>
      </w:pPr>
      <w:r>
        <w:rPr>
          <w:b/>
        </w:rPr>
      </w:r>
    </w:p>
    <w:p>
      <w:pPr>
        <w:pStyle w:val="Normal"/>
        <w:rPr>
          <w:b/>
        </w:rPr>
      </w:pPr>
      <w:r>
        <w:rPr>
          <w:b/>
        </w:rPr>
      </w:r>
    </w:p>
    <w:p>
      <w:pPr>
        <w:pStyle w:val="Normal"/>
        <w:rPr>
          <w:b/>
        </w:rPr>
      </w:pPr>
      <w:r>
        <w:rPr>
          <w:b/>
        </w:rPr>
        <w:t>PART B:</w:t>
        <w:tab/>
        <w:t>INTERIM SETTLEMENT</w:t>
      </w:r>
    </w:p>
    <w:p>
      <w:pPr>
        <w:pStyle w:val="Normal"/>
        <w:rPr/>
      </w:pPr>
      <w:r>
        <w:rPr/>
      </w:r>
    </w:p>
    <w:p>
      <w:pPr>
        <w:pStyle w:val="Normal"/>
        <w:numPr>
          <w:ilvl w:val="0"/>
          <w:numId w:val="12"/>
        </w:numPr>
        <w:rPr/>
      </w:pPr>
      <w:r>
        <w:rPr/>
        <w:t>Explain the derivation of the $3.5 million, how it would be collected, and whether it would be offset by anything or reduced by anything.</w:t>
      </w:r>
    </w:p>
    <w:p>
      <w:pPr>
        <w:pStyle w:val="Normal"/>
        <w:rPr/>
      </w:pPr>
      <w:r>
        <w:rPr/>
      </w:r>
    </w:p>
    <w:p>
      <w:pPr>
        <w:pStyle w:val="Normal"/>
        <w:spacing w:lineRule="auto" w:line="480"/>
        <w:ind w:start="720" w:end="0"/>
        <w:rPr/>
      </w:pPr>
      <w:r>
        <w:rPr/>
        <w:t>The $3.5 million is a negotiated "not-to-exceed" figure that caps the total capital cost that SoCalGas shall be allowed to book to the Implementation Account in which SoCalGas will be permitted to book the cost of developing and implementing new or enhanced computer systems for pooling and secondary market storage capacity transactions.  The parties to the Interim Settlement estimated that the capital costs associated with developing and implementing the new or enhanced computer systems that may be necessary for pooling and secondary market storage capacity transactions would be $2.7 million.  IS, at 17.</w:t>
      </w:r>
    </w:p>
    <w:p>
      <w:pPr>
        <w:pStyle w:val="Normal"/>
        <w:spacing w:lineRule="auto" w:line="480"/>
        <w:ind w:start="720" w:end="0"/>
        <w:rPr/>
      </w:pPr>
      <w:r>
        <w:rPr/>
      </w:r>
    </w:p>
    <w:p>
      <w:pPr>
        <w:pStyle w:val="Normal"/>
        <w:spacing w:lineRule="auto" w:line="480"/>
        <w:ind w:start="720" w:end="0"/>
        <w:rPr/>
      </w:pPr>
      <w:r>
        <w:rPr/>
        <w:t>If SoCalGas derives revenues from pooling transactions, SoCalGas shall book the revenues as a credit against the revenue requirement associated with the allowable capital costs. If pooling fees exceed the revenue requirement associated with costs booked to the Account, SoCalGas shall refund any excess pooling fees.  The Settlement does not resolve any issues regarding the allocation among customers of either the revenue requirement or the revenues associated with the Account.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12"/>
        </w:numPr>
        <w:rPr/>
      </w:pPr>
      <w:r>
        <w:rPr/>
        <w:t>I.B, - Is strategic super-overnomination, as in the Gas Accord Open Season, a potential problem?</w:t>
      </w:r>
    </w:p>
    <w:p>
      <w:pPr>
        <w:pStyle w:val="Normal"/>
        <w:rPr/>
      </w:pPr>
      <w:r>
        <w:rPr/>
      </w:r>
    </w:p>
    <w:p>
      <w:pPr>
        <w:pStyle w:val="Normal"/>
        <w:spacing w:lineRule="auto" w:line="480"/>
        <w:ind w:start="720" w:end="0"/>
        <w:rPr/>
      </w:pPr>
      <w:r>
        <w:rPr/>
        <w:t>"Super overnomination" as occurred in the Gas Accord Open Season for firm "backbone" capacity would not affect the Allocated Capacity that is allocated among pipelines that deliver into Wheeler Ridge for a given day, insofar as the Allocated Capacity would be determined by the prior day's scheduled deliveries.  IS, at 5-6.</w:t>
      </w:r>
    </w:p>
    <w:p>
      <w:pPr>
        <w:pStyle w:val="Normal"/>
        <w:rPr/>
      </w:pPr>
      <w:r>
        <w:rPr/>
      </w:r>
    </w:p>
    <w:p>
      <w:pPr>
        <w:pStyle w:val="Normal"/>
        <w:numPr>
          <w:ilvl w:val="0"/>
          <w:numId w:val="12"/>
        </w:numPr>
        <w:rPr/>
      </w:pPr>
      <w:r>
        <w:rPr/>
        <w:t>Pg. 4: What is "the storage capacity required for minimum core reliability purposes"?</w:t>
      </w:r>
    </w:p>
    <w:p>
      <w:pPr>
        <w:pStyle w:val="Normal"/>
        <w:rPr/>
      </w:pPr>
      <w:r>
        <w:rPr/>
      </w:r>
    </w:p>
    <w:p>
      <w:pPr>
        <w:pStyle w:val="Normal"/>
        <w:spacing w:lineRule="auto" w:line="480"/>
        <w:ind w:start="720" w:end="0"/>
        <w:rPr/>
      </w:pPr>
      <w:r>
        <w:rPr/>
        <w:t>The IS defines the storage capacity required for minimum core reliability as 100% of the withdrawal, 50% of the inventory, and 50% of the injection capacity allocated to core service in D.00-04-060.  IS, §VII.B at p. 15.  CTAs have an option to reject non-reliability storage assignment.  The following table presents the resulting core storage allocations.  A column contrasting the reliability/balancing allocation under the CSA is presented for convenience (however, note that the CSA gives CTAs an option to reject both reliability and nonreliability storage):</w:t>
      </w:r>
    </w:p>
    <w:p>
      <w:pPr>
        <w:pStyle w:val="Normal"/>
        <w:ind w:start="720" w:end="0"/>
        <w:rPr/>
      </w:pPr>
      <w:r>
        <w:rPr/>
      </w:r>
    </w:p>
    <w:p>
      <w:pPr>
        <w:pStyle w:val="Normal"/>
        <w:ind w:start="720" w:end="0"/>
        <w:rPr/>
      </w:pPr>
      <w:r>
        <w:rPr/>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Normal"/>
              <w:rPr>
                <w:b/>
              </w:rPr>
            </w:pPr>
            <w:r>
              <w:rPr>
                <w:b/>
              </w:rPr>
              <w:t>PI Total Core Storage</w:t>
            </w:r>
          </w:p>
        </w:tc>
        <w:tc>
          <w:tcPr>
            <w:tcW w:w="2394" w:type="dxa"/>
            <w:tcBorders>
              <w:top w:val="single" w:sz="4" w:space="0" w:color="000000"/>
              <w:start w:val="single" w:sz="4" w:space="0" w:color="000000"/>
              <w:bottom w:val="single" w:sz="4" w:space="0" w:color="000000"/>
              <w:end w:val="single" w:sz="4" w:space="0" w:color="000000"/>
            </w:tcBorders>
          </w:tcPr>
          <w:p>
            <w:pPr>
              <w:pStyle w:val="Normal"/>
              <w:rPr>
                <w:b/>
              </w:rPr>
            </w:pPr>
            <w:r>
              <w:rPr>
                <w:b/>
              </w:rPr>
              <w:t>PI Core Reliability Storage</w:t>
            </w:r>
          </w:p>
        </w:tc>
        <w:tc>
          <w:tcPr>
            <w:tcW w:w="2394" w:type="dxa"/>
            <w:tcBorders>
              <w:top w:val="single" w:sz="4" w:space="0" w:color="000000"/>
              <w:start w:val="single" w:sz="4" w:space="0" w:color="000000"/>
              <w:bottom w:val="single" w:sz="4" w:space="0" w:color="000000"/>
              <w:end w:val="single" w:sz="4" w:space="0" w:color="000000"/>
            </w:tcBorders>
          </w:tcPr>
          <w:p>
            <w:pPr>
              <w:pStyle w:val="Normal"/>
              <w:rPr>
                <w:b/>
              </w:rPr>
            </w:pPr>
            <w:r>
              <w:rPr>
                <w:b/>
              </w:rPr>
              <w:t>Reliability + Balancing (under CSA)</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Inventory (Bcf)</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Injection (MMcf/d)</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327</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163.5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234</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Withdrawal (MMcf/d)</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1935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1935</w:t>
            </w:r>
          </w:p>
        </w:tc>
        <w:tc>
          <w:tcPr>
            <w:tcW w:w="2394" w:type="dxa"/>
            <w:tcBorders>
              <w:top w:val="single" w:sz="4" w:space="0" w:color="000000"/>
              <w:start w:val="single" w:sz="4" w:space="0" w:color="000000"/>
              <w:bottom w:val="single" w:sz="4" w:space="0" w:color="000000"/>
              <w:end w:val="single" w:sz="4" w:space="0" w:color="000000"/>
            </w:tcBorders>
          </w:tcPr>
          <w:p>
            <w:pPr>
              <w:pStyle w:val="Normal"/>
              <w:jc w:val="center"/>
              <w:rPr/>
            </w:pPr>
            <w:r>
              <w:rPr/>
              <w:t>1935</w:t>
            </w:r>
          </w:p>
        </w:tc>
      </w:tr>
    </w:tbl>
    <w:p>
      <w:pPr>
        <w:pStyle w:val="Normal"/>
        <w:ind w:start="720" w:end="0"/>
        <w:rPr/>
      </w:pPr>
      <w:r>
        <w:rPr/>
      </w:r>
    </w:p>
    <w:p>
      <w:pPr>
        <w:pStyle w:val="Normal"/>
        <w:ind w:start="720" w:end="0"/>
        <w:rPr/>
      </w:pPr>
      <w:r>
        <w:rPr/>
      </w:r>
    </w:p>
    <w:p>
      <w:pPr>
        <w:pStyle w:val="Normal"/>
        <w:numPr>
          <w:ilvl w:val="0"/>
          <w:numId w:val="12"/>
        </w:numPr>
        <w:rPr/>
      </w:pPr>
      <w:r>
        <w:rPr/>
        <w:t>II., p. 7 - Why should there be an expansion trigger mechanism for Wheeler Ridge?  Who stands to benefit?  Why should all customers pay for such an expansion?  Why shouldn't other interconnections have such a trigger?</w:t>
      </w:r>
    </w:p>
    <w:p>
      <w:pPr>
        <w:pStyle w:val="Normal"/>
        <w:rPr/>
      </w:pPr>
      <w:r>
        <w:rPr/>
      </w:r>
    </w:p>
    <w:p>
      <w:pPr>
        <w:pStyle w:val="Normal"/>
        <w:spacing w:lineRule="auto" w:line="480"/>
        <w:ind w:start="720" w:end="0"/>
        <w:rPr/>
      </w:pPr>
      <w:r>
        <w:rPr/>
        <w:t xml:space="preserve">The Interim Settlement provides for an expansion trigger mechanism so that there can be assurance that SoCalGas will construct an expansion if (1) SoCalGas is not able to meet the 830 MMcfd Wheeler Ridge capacity that SoCalGas says that it can provide on most days and (2) there is assurance that there is demand for the capacity.  Assurance that SoCalGas is not able to meet the 830 MMcfd as well as assurance that there is demand for capacity is provided by the Settlement in the form of objective criteria for expansion.  There will be an expansion only if confirmed nominations at Wheeler Ridge up to a level of 780 MMcfd are cut more than 5%, less any unutilized firm Hector Road capacity, on 60 or more days in any consecutive 12-month period.  </w:t>
      </w:r>
    </w:p>
    <w:p>
      <w:pPr>
        <w:pStyle w:val="Normal"/>
        <w:spacing w:lineRule="auto" w:line="480"/>
        <w:ind w:start="720" w:end="0"/>
        <w:rPr/>
      </w:pPr>
      <w:r>
        <w:rPr/>
      </w:r>
    </w:p>
    <w:p>
      <w:pPr>
        <w:pStyle w:val="Normal"/>
        <w:spacing w:lineRule="auto" w:line="480"/>
        <w:ind w:start="720" w:end="0"/>
        <w:rPr/>
      </w:pPr>
      <w:r>
        <w:rPr/>
        <w:t>The beneficiaries of an expansion would be shippers who move gas through Wheeler Ridge and their customers which desire to receive the gas.  Insofar as demand for gas through a given receipt point tends to be price-driven, if demand for gas through Wheeler Ridge could not be satisfied, the implication would be that customers would be forced to take more expensive supplies through a different receipt point.</w:t>
      </w:r>
    </w:p>
    <w:p>
      <w:pPr>
        <w:pStyle w:val="Normal"/>
        <w:ind w:start="720" w:end="0"/>
        <w:rPr/>
      </w:pPr>
      <w:r>
        <w:rPr/>
      </w:r>
    </w:p>
    <w:p>
      <w:pPr>
        <w:pStyle w:val="Normal"/>
        <w:spacing w:lineRule="auto" w:line="480"/>
        <w:ind w:start="720" w:end="0"/>
        <w:rPr/>
      </w:pPr>
      <w:r>
        <w:rPr/>
        <w:t>Customers would pay for the expansion insofar as the expansion would permit them to receive the lower cost supplies that otherwise would be unavailable to them if lack of capacity at Wheeler Ridge restricted access to the supplies.  The Settlement does not fix the allocation of the expansion costs among customer classes.</w:t>
      </w:r>
    </w:p>
    <w:p>
      <w:pPr>
        <w:pStyle w:val="Normal"/>
        <w:ind w:start="720" w:end="0"/>
        <w:rPr/>
      </w:pPr>
      <w:r>
        <w:rPr/>
      </w:r>
    </w:p>
    <w:p>
      <w:pPr>
        <w:pStyle w:val="Normal"/>
        <w:spacing w:lineRule="auto" w:line="480"/>
        <w:ind w:start="720" w:end="0"/>
        <w:rPr/>
      </w:pPr>
      <w:r>
        <w:rPr/>
        <w:t>A trigger mechanism was adopted for Wheeler Ridge because it is unique.  (1) Significant expansion (100 MMcfd) could be accomplished easily through the addition of one compressor, c(2) adequate upstream pipeline capacity is already in place to satisfy an expansion, and (3) there is a reasonably realistic prospect that demand for access will outstrip current capacity.</w:t>
      </w:r>
    </w:p>
    <w:p>
      <w:pPr>
        <w:pStyle w:val="Normal"/>
        <w:rPr/>
      </w:pPr>
      <w:r>
        <w:rPr/>
      </w:r>
    </w:p>
    <w:p>
      <w:pPr>
        <w:pStyle w:val="Normal"/>
        <w:numPr>
          <w:ilvl w:val="0"/>
          <w:numId w:val="12"/>
        </w:numPr>
        <w:rPr/>
      </w:pPr>
      <w:r>
        <w:rPr/>
        <w:t>II., p. 7, IX, p. 18, XI. - Since by approving the Settlement, the Commission does not become a party to it and cannot be bound by it, and since settlements are not precedential, if all of these sentences and others similar to it are disapproved, are you still advocating this settlement?</w:t>
      </w:r>
    </w:p>
    <w:p>
      <w:pPr>
        <w:pStyle w:val="Normal"/>
        <w:rPr/>
      </w:pPr>
      <w:r>
        <w:rPr/>
      </w:r>
    </w:p>
    <w:p>
      <w:pPr>
        <w:pStyle w:val="Normal"/>
        <w:ind w:start="720" w:end="0"/>
        <w:rPr/>
      </w:pPr>
      <w:r>
        <w:rPr/>
        <w:t xml:space="preserve">Yes.  </w:t>
      </w:r>
    </w:p>
    <w:p>
      <w:pPr>
        <w:pStyle w:val="Normal"/>
        <w:ind w:start="720" w:end="0"/>
        <w:rPr/>
      </w:pPr>
      <w:r>
        <w:rPr/>
      </w:r>
    </w:p>
    <w:p>
      <w:pPr>
        <w:pStyle w:val="Normal"/>
        <w:numPr>
          <w:ilvl w:val="0"/>
          <w:numId w:val="12"/>
        </w:numPr>
        <w:rPr/>
      </w:pPr>
      <w:r>
        <w:rPr/>
        <w:t>Pg. 7: What are the current Wheeler Ridge access fees and surcharges:? Why should Hector Road also be subject to such fees?  Re Hector Road receipt point - who is paying for the connection, Mojave users or SoCalGas end-users?</w:t>
      </w:r>
    </w:p>
    <w:p>
      <w:pPr>
        <w:pStyle w:val="Normal"/>
        <w:rPr/>
      </w:pPr>
      <w:r>
        <w:rPr/>
      </w:r>
    </w:p>
    <w:p>
      <w:pPr>
        <w:pStyle w:val="Normal"/>
        <w:spacing w:lineRule="auto" w:line="480"/>
        <w:ind w:start="720" w:end="0"/>
        <w:rPr/>
      </w:pPr>
      <w:r>
        <w:rPr/>
        <w:t xml:space="preserve">Wheeler Ridge access fees and surcharges were eliminated in D.00-04-060 (April 20, 2000)  </w:t>
      </w:r>
      <w:r>
        <w:rPr>
          <w:u w:val="single"/>
        </w:rPr>
        <w:t>See</w:t>
      </w:r>
      <w:r>
        <w:rPr/>
        <w:t xml:space="preserve"> SoCalGas Advice No. 2197 (May 19, 2000) implementing the elimination effective June 1, 2000.  </w:t>
      </w:r>
    </w:p>
    <w:p>
      <w:pPr>
        <w:pStyle w:val="Normal"/>
        <w:ind w:start="720" w:end="0"/>
        <w:rPr/>
      </w:pPr>
      <w:r>
        <w:rPr/>
      </w:r>
    </w:p>
    <w:p>
      <w:pPr>
        <w:pStyle w:val="Normal"/>
        <w:spacing w:lineRule="auto" w:line="480"/>
        <w:ind w:start="720" w:end="0"/>
        <w:rPr/>
      </w:pPr>
      <w:r>
        <w:rPr/>
        <w:t>The Hector Road interconnection between SoCalGas and Mojave Pipeline Company ("Mojave") is already in place.  We do not know if or how SoCalGas has paid for the interconnection.</w:t>
      </w:r>
    </w:p>
    <w:p>
      <w:pPr>
        <w:pStyle w:val="Normal"/>
        <w:rPr/>
      </w:pPr>
      <w:r>
        <w:rPr/>
      </w:r>
    </w:p>
    <w:p>
      <w:pPr>
        <w:pStyle w:val="Normal"/>
        <w:numPr>
          <w:ilvl w:val="0"/>
          <w:numId w:val="12"/>
        </w:numPr>
        <w:rPr/>
      </w:pPr>
      <w:r>
        <w:rPr/>
        <w:t>III., p.8 - Why shouldn't just those who benefit from the Wheeler Ridge expansion pay for it?</w:t>
      </w:r>
    </w:p>
    <w:p>
      <w:pPr>
        <w:pStyle w:val="Normal"/>
        <w:rPr/>
      </w:pPr>
      <w:r>
        <w:rPr/>
      </w:r>
    </w:p>
    <w:p>
      <w:pPr>
        <w:pStyle w:val="Normal"/>
        <w:spacing w:lineRule="auto" w:line="480"/>
        <w:ind w:start="720" w:end="0"/>
        <w:rPr/>
      </w:pPr>
      <w:r>
        <w:rPr/>
        <w:t>The Interim Settlement does not fix the allocation of Wheeler Ridge expansion costs among customer classes.  IS, at 8. In D.95-04-078, the Commission elected to recover the costs associated with the existing interconnection of the SoCalGas system with the Kern/Mojave pipelines and the PG&amp;E expansion (Line 401) on an incremental basis.  Under the incremental pricing approach, the $40 million investment in the interconnection facilities was to be recovered from the shippers that used the facilities rather than the general body of ratepayers.  At the same time,  the Commission adopted a Zone Rate Credit ("ZRC") which effectively relieved shippers using the Wheeler Ridge facilities from any cost responsibility for the eastern portion of the SoCalGas system.  The eastern portion of the system provides access to Southwestern gas supplies over the El Paso and Transwestern pipelines.</w:t>
      </w:r>
    </w:p>
    <w:p>
      <w:pPr>
        <w:pStyle w:val="Normal"/>
        <w:ind w:start="720" w:end="0"/>
        <w:rPr/>
      </w:pPr>
      <w:r>
        <w:rPr/>
      </w:r>
    </w:p>
    <w:p>
      <w:pPr>
        <w:pStyle w:val="Normal"/>
        <w:spacing w:lineRule="auto" w:line="480"/>
        <w:ind w:start="720" w:end="0"/>
        <w:rPr/>
      </w:pPr>
      <w:r>
        <w:rPr/>
        <w:t xml:space="preserve">In the SoCalGas BCAP in which the Commission issued D.00-04-060 on April 20, 2000, SoCalGas proposed to roll in the remaining costs of the Wheeler Ridge facilities and eliminate the ZRC.  No party objected to rolled-in pricing for Wheeler Ridge, and rolled-in pricing was approved in D.00-04-060. </w:t>
      </w:r>
    </w:p>
    <w:p>
      <w:pPr>
        <w:pStyle w:val="Normal"/>
        <w:rPr/>
      </w:pPr>
      <w:r>
        <w:rPr/>
      </w:r>
    </w:p>
    <w:p>
      <w:pPr>
        <w:pStyle w:val="Normal"/>
        <w:numPr>
          <w:ilvl w:val="0"/>
          <w:numId w:val="12"/>
        </w:numPr>
        <w:rPr/>
      </w:pPr>
      <w:r>
        <w:rPr/>
        <w:t>IV. - Explain the OFO procedure for the core served by the Gas Acquisition Department.  Explain how 2d in appendix B helps ameliorate OFO conditions.  What happens if weather doesn't turn out as forecasted? (cold instead of hot, for instance)</w:t>
      </w:r>
    </w:p>
    <w:p>
      <w:pPr>
        <w:pStyle w:val="Normal"/>
        <w:rPr/>
      </w:pPr>
      <w:r>
        <w:rPr/>
      </w:r>
    </w:p>
    <w:p>
      <w:pPr>
        <w:pStyle w:val="Normal"/>
        <w:spacing w:lineRule="auto" w:line="480"/>
        <w:ind w:start="720" w:end="0"/>
        <w:rPr/>
      </w:pPr>
      <w:r>
        <w:rPr/>
        <w:t xml:space="preserve">The OFO procedure that would be applicable to the Gas Acquisition Department would be the same that would apply to any other customer.  OFOs (which apply during the April through November summer season) would be issued by SoCalGas when the current (flow) day's scheduled deliveries exceed the forecast of the next day's system capacity to receive gas.  OFO's would be declared by 7:30 a.m. for the next flow day.  SoCalGas would also have the right to issue emergency OFOs by 3:30 p.m. for the next flow day.  Emergency OFOs would be called only in the event that customers failed to respond sufficiently to the calling of an OFO, or if changed operating conditions so required.  Penalties for violation of an emergency OFO would be substantially higher than for violation of an OFO.  </w:t>
      </w:r>
    </w:p>
    <w:p>
      <w:pPr>
        <w:pStyle w:val="Normal"/>
        <w:ind w:start="720" w:end="0"/>
        <w:rPr/>
      </w:pPr>
      <w:r>
        <w:rPr/>
      </w:r>
    </w:p>
    <w:p>
      <w:pPr>
        <w:pStyle w:val="Normal"/>
        <w:spacing w:lineRule="auto" w:line="480"/>
        <w:ind w:start="720" w:end="0"/>
        <w:rPr/>
      </w:pPr>
      <w:r>
        <w:rPr/>
        <w:t xml:space="preserve">IS, Appendix B, paragraph 2, provides for a "initial mid-summer review" if during the first two months of IS implementation there are more than eight OFO or E-OFO events.  (It was assumed when the IS was negotiated that implementation would take place during summer, 2000).  If any customer or shipper were found to have been responsible for causing more than 25% of the OFOs or E-OFOs during the two month period, a number of steps would be taken.  One step would be the convening of an "OFO Forum" that could agree upon measures to impose upon the offending parties.  If Gas Acquisition were an offending party, Gas Acquisition's daily deliveries would be limited to actual burn plus firm storage injection rights plus a pro rata share (based upon percentage of system burned) of total as-available storage injection capacity.  Other offending parties, if any, would be subject to similar limitations.  Such limitations would prevent significant excess deliveries into the SoCalGas system that would trigger an OFO or EFO.  </w:t>
      </w:r>
    </w:p>
    <w:p>
      <w:pPr>
        <w:pStyle w:val="Normal"/>
        <w:ind w:start="720" w:end="0"/>
        <w:rPr/>
      </w:pPr>
      <w:r>
        <w:rPr/>
      </w:r>
    </w:p>
    <w:p>
      <w:pPr>
        <w:pStyle w:val="Normal"/>
        <w:spacing w:lineRule="auto" w:line="480"/>
        <w:ind w:start="720" w:end="0"/>
        <w:rPr/>
      </w:pPr>
      <w:r>
        <w:rPr/>
        <w:t>On a day-to-day basis, weather reports may be wrong, in which case the SoCalGas forecast for the next day's system capacity to receive gas might be wrong.  IS, at 9.  A significantly changed weather condition could constitute "changed operating conditions" that might trigger an emergency OFO.</w:t>
      </w:r>
    </w:p>
    <w:p>
      <w:pPr>
        <w:pStyle w:val="Normal"/>
        <w:ind w:start="720" w:end="0"/>
        <w:rPr/>
      </w:pPr>
      <w:r>
        <w:rPr/>
      </w:r>
    </w:p>
    <w:p>
      <w:pPr>
        <w:pStyle w:val="Normal"/>
        <w:numPr>
          <w:ilvl w:val="0"/>
          <w:numId w:val="12"/>
        </w:numPr>
        <w:rPr/>
      </w:pPr>
      <w:r>
        <w:rPr/>
        <w:t>Pf. 9: What are the criteria, if any, for an EFO?</w:t>
      </w:r>
    </w:p>
    <w:p>
      <w:pPr>
        <w:pStyle w:val="Normal"/>
        <w:ind w:start="720" w:end="0"/>
        <w:rPr/>
      </w:pPr>
      <w:r>
        <w:rPr/>
      </w:r>
    </w:p>
    <w:p>
      <w:pPr>
        <w:pStyle w:val="Normal"/>
        <w:spacing w:lineRule="auto" w:line="480"/>
        <w:ind w:start="720" w:end="0"/>
        <w:rPr/>
      </w:pPr>
      <w:r>
        <w:rPr/>
        <w:t>While OFOs are declared by 7:30 a.m. for the next flow day, SoCalGas will declare E-OFOs by 3:30 p.m. for the next flow day.  The criteria are set forth in exemplary Rule No. 30, sheet 5 of 12, (IS, Appendix G):  "If customers fail to respond sufficiently to an OFO (scheduled deliveries for the Timely Nomination cycle exceed total system capacity), or if changing operating conditions so require, an E-OFO will be declared."</w:t>
      </w:r>
    </w:p>
    <w:p>
      <w:pPr>
        <w:pStyle w:val="Normal"/>
        <w:ind w:start="720" w:end="0"/>
        <w:rPr/>
      </w:pPr>
      <w:r>
        <w:rPr/>
      </w:r>
    </w:p>
    <w:p>
      <w:pPr>
        <w:pStyle w:val="Normal"/>
        <w:ind w:start="720" w:end="0"/>
        <w:rPr/>
      </w:pPr>
      <w:r>
        <w:rPr/>
      </w:r>
    </w:p>
    <w:p>
      <w:pPr>
        <w:pStyle w:val="Normal"/>
        <w:numPr>
          <w:ilvl w:val="0"/>
          <w:numId w:val="12"/>
        </w:numPr>
        <w:rPr/>
      </w:pPr>
      <w:r>
        <w:rPr/>
        <w:t>V.</w:t>
        <w:tab/>
        <w:t>What exactly is the term limit on the pooling provision?  Is the tariff language inextricably part of the Settlement?  If so, explain how to deal with discrepancies between Appendix D, such as the addition of the "per nomination cycle" language, the rollover difference.  Where does the pooling penalty money go?  What does it mean to balance in the pools?  What will happen if the Commission doesn't like particular terms of the tariff but is ok with pooling?</w:t>
      </w:r>
    </w:p>
    <w:p>
      <w:pPr>
        <w:pStyle w:val="Normal"/>
        <w:rPr/>
      </w:pPr>
      <w:r>
        <w:rPr/>
      </w:r>
    </w:p>
    <w:p>
      <w:pPr>
        <w:pStyle w:val="Normal"/>
        <w:spacing w:lineRule="auto" w:line="480"/>
        <w:ind w:start="720" w:end="0"/>
        <w:rPr/>
      </w:pPr>
      <w:r>
        <w:rPr/>
        <w:t>The pooling provision does not have a term limit.  The IS provides (at 18):  "This Settlement will remain in effect until at least December 31, 2002, and its provisions will remain in place thereafter unless and until the Commission orders to the contrary."  The Settlement parties consider the tariff language to be part of the Settlement.</w:t>
      </w:r>
    </w:p>
    <w:p>
      <w:pPr>
        <w:pStyle w:val="Normal"/>
        <w:spacing w:lineRule="auto" w:line="480"/>
        <w:ind w:start="720" w:end="0"/>
        <w:rPr/>
      </w:pPr>
      <w:r>
        <w:rPr/>
      </w:r>
    </w:p>
    <w:p>
      <w:pPr>
        <w:pStyle w:val="Normal"/>
        <w:spacing w:lineRule="auto" w:line="480"/>
        <w:ind w:start="720" w:end="0"/>
        <w:rPr/>
      </w:pPr>
      <w:r>
        <w:rPr/>
        <w:t xml:space="preserve"> </w:t>
      </w:r>
      <w:r>
        <w:rPr/>
        <w:t>Regarding nominations, Appendix D discusses two types of nominations.  First, Appendix D discusses "nominations to and from a pool."  A "nomination cycle" is a two-day event that starts with a morning nomination for the following flow day and which ends at the end of the flow day.  Thus, a full nomination cycle for a day takes two days.</w:t>
      </w:r>
    </w:p>
    <w:p>
      <w:pPr>
        <w:pStyle w:val="Normal"/>
        <w:ind w:start="720" w:end="0"/>
        <w:rPr/>
      </w:pPr>
      <w:r>
        <w:rPr/>
      </w:r>
    </w:p>
    <w:p>
      <w:pPr>
        <w:pStyle w:val="Normal"/>
        <w:spacing w:lineRule="auto" w:line="480"/>
        <w:ind w:start="720" w:end="0"/>
        <w:rPr/>
      </w:pPr>
      <w:r>
        <w:rPr/>
        <w:t>The pooling penalty money is credited to the Implementation Account into which SoCalGas books its capital costs associated with implementing pooling and secondary market storage capacity trading.  IS, at 18.  If pooling fees exceed the revenue requirement associated with the costs booked to the Implementation Account, SoCalGas shall refund the excess.  The Settlement does not resolve how to allocate any such excess revenues among customers.</w:t>
      </w:r>
    </w:p>
    <w:p>
      <w:pPr>
        <w:pStyle w:val="Normal"/>
        <w:ind w:start="720" w:end="0"/>
        <w:rPr/>
      </w:pPr>
      <w:r>
        <w:rPr/>
      </w:r>
    </w:p>
    <w:p>
      <w:pPr>
        <w:pStyle w:val="Normal"/>
        <w:spacing w:lineRule="auto" w:line="480"/>
        <w:ind w:start="720" w:end="0"/>
        <w:rPr/>
      </w:pPr>
      <w:r>
        <w:rPr/>
        <w:t>An imbalance develops in a pool if a customer nominates gas into a pool but does not simultaneously schedule gas out of a pool to burn, storage, or another pool.  As explained in the IS (at 10) customers and marketers will not be permitted to hold imbalances in pools after the first of the four nomination cycles for a given flow day.  Thus, gas scheduled into a pool during any nomination cycle after the first nomination cycle for a given flow day must be simultaneously scheduled out of a pool to burn, storage, or another pool.  IS, at 10.</w:t>
      </w:r>
    </w:p>
    <w:p>
      <w:pPr>
        <w:pStyle w:val="Normal"/>
        <w:spacing w:lineRule="auto" w:line="480"/>
        <w:ind w:start="720" w:end="0"/>
        <w:rPr/>
      </w:pPr>
      <w:r>
        <w:rPr/>
      </w:r>
    </w:p>
    <w:p>
      <w:pPr>
        <w:pStyle w:val="Normal"/>
        <w:spacing w:lineRule="auto" w:line="480"/>
        <w:ind w:start="720" w:end="0"/>
        <w:rPr/>
      </w:pPr>
      <w:r>
        <w:rPr/>
        <w:t xml:space="preserve">If the Commission decides to change the terms of the tariff, it should so order in its decision in this case so that SoCalGas can then submit a compliance filing. </w:t>
      </w:r>
    </w:p>
    <w:p>
      <w:pPr>
        <w:pStyle w:val="Normal"/>
        <w:numPr>
          <w:ilvl w:val="0"/>
          <w:numId w:val="12"/>
        </w:numPr>
        <w:rPr/>
      </w:pPr>
      <w:r>
        <w:rPr/>
        <w:t>Pg. 10:  Are there any significant differences in the pools established under the Post-IS and the Comprehensive Settlement?  Pg. 10: How are the pooling fees treated under the Post-IS?  As PBR revenues?  Excluded from PBR revenues?  Allocated to ratepayers?</w:t>
      </w:r>
    </w:p>
    <w:p>
      <w:pPr>
        <w:pStyle w:val="Normal"/>
        <w:rPr/>
      </w:pPr>
      <w:r>
        <w:rPr/>
      </w:r>
    </w:p>
    <w:p>
      <w:pPr>
        <w:pStyle w:val="Normal"/>
        <w:spacing w:lineRule="auto" w:line="480"/>
        <w:ind w:start="720" w:end="0"/>
        <w:rPr/>
      </w:pPr>
      <w:r>
        <w:rPr/>
        <w:t>Under the IS, each legal entity conducting business on the SoCalGas system would be allowed one pool.  The pool would allow for the trading of gas supplies between the delivery into the SoCalGas system and the market.</w:t>
      </w:r>
    </w:p>
    <w:p>
      <w:pPr>
        <w:pStyle w:val="Normal"/>
        <w:spacing w:lineRule="auto" w:line="480"/>
        <w:ind w:start="720" w:end="0"/>
        <w:rPr/>
      </w:pPr>
      <w:r>
        <w:rPr/>
      </w:r>
    </w:p>
    <w:p>
      <w:pPr>
        <w:pStyle w:val="Normal"/>
        <w:spacing w:lineRule="auto" w:line="480"/>
        <w:ind w:start="720" w:end="0"/>
        <w:rPr/>
      </w:pPr>
      <w:r>
        <w:rPr/>
        <w:t xml:space="preserve">The Comprehensive Settlement Agreement requires nominations to pools to simultaneously schedule gas out of a pool to burn, storage or another pool during all nomination cycles.  Under the Comprehensive Settlement Agreement each legal entity conducting business on the SoCalGas system would be allowed one pool at each of the receipt points into the SoCalGas system and would also be allowed one pool at the city gate into the SoCalGas distribution system.  The receipt point pools will allow for gas trading at each point into the SoCalGas system, and the citygate pool will also allow for gas trading at the entry into the distribution system.  </w:t>
      </w:r>
    </w:p>
    <w:p>
      <w:pPr>
        <w:pStyle w:val="Normal"/>
        <w:spacing w:lineRule="auto" w:line="480"/>
        <w:ind w:start="720" w:end="0"/>
        <w:rPr/>
      </w:pPr>
      <w:r>
        <w:rPr/>
      </w:r>
    </w:p>
    <w:p>
      <w:pPr>
        <w:pStyle w:val="Normal"/>
        <w:spacing w:lineRule="auto" w:line="480"/>
        <w:ind w:start="720" w:end="0"/>
        <w:rPr/>
      </w:pPr>
      <w:r>
        <w:rPr/>
        <w:t>Pooling fees are treated under the PI just as they are in the IS.  They are credited to the implementation account to offset the implementation revenue requirement.  After that, to the extent to which the fees exceed the implementation revenue requirement, the fees are refunded to customers.</w:t>
      </w:r>
    </w:p>
    <w:p>
      <w:pPr>
        <w:pStyle w:val="Normal"/>
        <w:numPr>
          <w:ilvl w:val="0"/>
          <w:numId w:val="12"/>
        </w:numPr>
        <w:rPr/>
      </w:pPr>
      <w:r>
        <w:rPr/>
        <w:t>VI.A, p.11- Explain why there is a distinction for core and CAT regarding winter flowing supplies.  Doesn't the previous sentence state the winter balancing rules will continue to apply?</w:t>
      </w:r>
    </w:p>
    <w:p>
      <w:pPr>
        <w:pStyle w:val="Normal"/>
        <w:rPr/>
      </w:pPr>
      <w:r>
        <w:rPr/>
      </w:r>
    </w:p>
    <w:p>
      <w:pPr>
        <w:pStyle w:val="Normal"/>
        <w:spacing w:lineRule="auto" w:line="480"/>
        <w:ind w:start="720" w:end="0"/>
        <w:rPr/>
      </w:pPr>
      <w:r>
        <w:rPr/>
        <w:t xml:space="preserve">Current winter (November-March) flowing supply requirements would continue to apply to the SoCalGas Gas Acquisition Department and to CAT marketers.  The drain on storage would be too great if the flowing supply requirement were dropped. </w:t>
      </w:r>
    </w:p>
    <w:p>
      <w:pPr>
        <w:pStyle w:val="Normal"/>
        <w:numPr>
          <w:ilvl w:val="0"/>
          <w:numId w:val="12"/>
        </w:numPr>
        <w:rPr/>
      </w:pPr>
      <w:r>
        <w:rPr/>
        <w:t>Pg. 11: Do the parties supporting the Post-IS adopt and sponsor the pooling tariff that has been submitted by SoCalGas in this proceeding?</w:t>
      </w:r>
    </w:p>
    <w:p>
      <w:pPr>
        <w:pStyle w:val="Normal"/>
        <w:rPr/>
      </w:pPr>
      <w:r>
        <w:rPr/>
      </w:r>
    </w:p>
    <w:p>
      <w:pPr>
        <w:pStyle w:val="Normal"/>
        <w:spacing w:lineRule="auto" w:line="480"/>
        <w:ind w:start="720" w:end="0"/>
        <w:rPr/>
      </w:pPr>
      <w:r>
        <w:rPr/>
        <w:t>Yes, insofar as the pooling tariff is considered to be part of the Settlement.</w:t>
      </w:r>
    </w:p>
    <w:p>
      <w:pPr>
        <w:pStyle w:val="Normal"/>
        <w:spacing w:lineRule="auto" w:line="480"/>
        <w:ind w:start="720" w:end="0"/>
        <w:rPr/>
      </w:pPr>
      <w:r>
        <w:rPr/>
      </w:r>
    </w:p>
    <w:p>
      <w:pPr>
        <w:pStyle w:val="Normal"/>
        <w:numPr>
          <w:ilvl w:val="0"/>
          <w:numId w:val="12"/>
        </w:numPr>
        <w:rPr/>
      </w:pPr>
      <w:r>
        <w:rPr/>
        <w:t>Pg. 11-12: How is the core monthly imbalance determined under the Post-IS? How is the core 10% tolerance determined?</w:t>
      </w:r>
    </w:p>
    <w:p>
      <w:pPr>
        <w:pStyle w:val="Normal"/>
        <w:rPr/>
      </w:pPr>
      <w:r>
        <w:rPr/>
      </w:r>
    </w:p>
    <w:p>
      <w:pPr>
        <w:pStyle w:val="Normal"/>
        <w:spacing w:lineRule="auto" w:line="480"/>
        <w:ind w:start="720" w:end="0"/>
        <w:rPr/>
      </w:pPr>
      <w:r>
        <w:rPr/>
        <w:t>Core imbalances, including imbalances occur by SoCalGas' Gas Acquisition Department and by individual CAT marketers, shall be determined on the basis of the forecast daily demand methodology described in Appendix E to the IS.  IS at 12.</w:t>
      </w:r>
    </w:p>
    <w:p>
      <w:pPr>
        <w:pStyle w:val="Normal"/>
        <w:numPr>
          <w:ilvl w:val="0"/>
          <w:numId w:val="12"/>
        </w:numPr>
        <w:rPr/>
      </w:pPr>
      <w:r>
        <w:rPr/>
        <w:t>Pg. 12: How is an "emergency condition" [which would allow communications between Operations and Acquisition] determined? Explain a situation in which Gas Operations would need to contact Gas Acquisition?  Why does this need a 7 day lag?</w:t>
      </w:r>
    </w:p>
    <w:p>
      <w:pPr>
        <w:pStyle w:val="Normal"/>
        <w:rPr/>
      </w:pPr>
      <w:r>
        <w:rPr/>
      </w:r>
    </w:p>
    <w:p>
      <w:pPr>
        <w:pStyle w:val="Normal"/>
        <w:spacing w:lineRule="auto" w:line="480"/>
        <w:ind w:start="720" w:end="0"/>
        <w:rPr/>
      </w:pPr>
      <w:r>
        <w:rPr/>
        <w:t>An emergency condition would be determined by Gas Operations.  There have been no emergency conditions and no “emergency” Operations/Acquisition communications since the PE/Enova merger was approved.</w:t>
      </w:r>
    </w:p>
    <w:p>
      <w:pPr>
        <w:pStyle w:val="Normal"/>
        <w:spacing w:lineRule="auto" w:line="480"/>
        <w:ind w:start="720" w:end="0"/>
        <w:rPr/>
      </w:pPr>
      <w:r>
        <w:rPr/>
      </w:r>
    </w:p>
    <w:p>
      <w:pPr>
        <w:pStyle w:val="BodyTextIndent2"/>
        <w:rPr/>
      </w:pPr>
      <w:r>
        <w:rPr/>
        <w:t>SoCalGas contends that if there were such communications, it would need a seven day lag so that the market will not know that Gas Operations has contacted Gas Acquisition with a request that Gas Acquisition obtain gas to balance the system.  SoCalGas believes that if the market had such information on a real time basis or anything less than a seven day basis, gas suppliers could raise prices charged to Gas Acquisition.</w:t>
      </w:r>
    </w:p>
    <w:p>
      <w:pPr>
        <w:pStyle w:val="Normal"/>
        <w:numPr>
          <w:ilvl w:val="0"/>
          <w:numId w:val="12"/>
        </w:numPr>
        <w:rPr/>
      </w:pPr>
      <w:r>
        <w:rPr/>
        <w:t>Explain the change in the mitigation measure, and explain why this is necessary and not made public.</w:t>
      </w:r>
    </w:p>
    <w:p>
      <w:pPr>
        <w:pStyle w:val="Normal"/>
        <w:rPr/>
      </w:pPr>
      <w:r>
        <w:rPr/>
      </w:r>
    </w:p>
    <w:p>
      <w:pPr>
        <w:pStyle w:val="Normal"/>
        <w:spacing w:lineRule="auto" w:line="480"/>
        <w:ind w:start="720" w:end="0"/>
        <w:rPr/>
      </w:pPr>
      <w:r>
        <w:rPr/>
        <w:t>Remedial Measure III.Q (Remedial Measure 17), adopted in the PE/Enova merger decision, D.98-03-073 (March 26, 1998), provided as follows:</w:t>
      </w:r>
    </w:p>
    <w:p>
      <w:pPr>
        <w:pStyle w:val="Quote"/>
        <w:rPr/>
      </w:pPr>
      <w:r>
        <w:rPr/>
        <w:t>SoCalGas shall propose to the Commission in the upcoming Gas Industry Restructuring proceeding a set of provisions designed to eliminate the need for SoCalGas Gas Acquisition to provide system balancing.  If the system reliability and balancing function is separated from SoCalGas Gas Acquisition, all communications between Gas Operations and SoCalGas Gas Acquisition shall be through, and posted contemporaneously on, the Gas Select EBB, except for the telephonic and facsimile communications addressed above in (3).</w:t>
      </w:r>
    </w:p>
    <w:p>
      <w:pPr>
        <w:pStyle w:val="Normal"/>
        <w:spacing w:lineRule="auto" w:line="480"/>
        <w:ind w:start="720" w:end="0"/>
        <w:rPr/>
      </w:pPr>
      <w:r>
        <w:rPr/>
        <w:t>Without a provision expressly providing that Remedial Measure 17 shall not apply, the provisions of the IS, including the provision that SoCalGas' Gas Acquisition Department will no longer buy or sell noncore imbalances above tolerance levels (IS at 12) and the provision that all customers, including Gas Acquisition will be subject to the same rules and penalties as the noncore (IS at 11), could be construed as triggering the Remedial Measure 17 ban on Operations/Acquisitions communications.</w:t>
      </w:r>
    </w:p>
    <w:p>
      <w:pPr>
        <w:pStyle w:val="Normal"/>
        <w:numPr>
          <w:ilvl w:val="0"/>
          <w:numId w:val="12"/>
        </w:numPr>
        <w:rPr/>
      </w:pPr>
      <w:r>
        <w:rPr/>
        <w:t>Pg. 13: Will the Gas Acquisition Dept be compensated if it takes actions which help maintain the operational integrity of the system?  If so, who will pay this compensation?</w:t>
      </w:r>
    </w:p>
    <w:p>
      <w:pPr>
        <w:pStyle w:val="Normal"/>
        <w:rPr/>
      </w:pPr>
      <w:r>
        <w:rPr/>
      </w:r>
    </w:p>
    <w:p>
      <w:pPr>
        <w:pStyle w:val="Normal"/>
        <w:spacing w:lineRule="auto" w:line="480"/>
        <w:ind w:start="720" w:end="0"/>
        <w:rPr/>
      </w:pPr>
      <w:r>
        <w:rPr/>
        <w:t xml:space="preserve">The cost of gas acquired by the core goes through the GCIM.  </w:t>
      </w:r>
    </w:p>
    <w:p>
      <w:pPr>
        <w:pStyle w:val="Normal"/>
        <w:spacing w:lineRule="auto" w:line="480"/>
        <w:ind w:start="720" w:end="0"/>
        <w:rPr/>
      </w:pPr>
      <w:r>
        <w:rPr/>
      </w:r>
    </w:p>
    <w:p>
      <w:pPr>
        <w:pStyle w:val="Normal"/>
        <w:numPr>
          <w:ilvl w:val="0"/>
          <w:numId w:val="12"/>
        </w:numPr>
        <w:rPr/>
      </w:pPr>
      <w:r>
        <w:rPr/>
        <w:t>Pg. 13: How are imbalance charges treated under the post-IS?  Allocated back to customers?  Treated as PBR revenues?  Allocated to shareholders?</w:t>
      </w:r>
    </w:p>
    <w:p>
      <w:pPr>
        <w:pStyle w:val="Normal"/>
        <w:rPr/>
      </w:pPr>
      <w:r>
        <w:rPr/>
      </w:r>
    </w:p>
    <w:p>
      <w:pPr>
        <w:pStyle w:val="Normal"/>
        <w:spacing w:lineRule="auto" w:line="480"/>
        <w:ind w:start="720" w:end="0"/>
        <w:rPr/>
      </w:pPr>
      <w:r>
        <w:rPr/>
        <w:t>As in the IS, "imbalance charge revenues will be applied to reduce customer transportation rates on an equal cents per therm basis."  IS, at 13.  This provision will survive insofar as the IS "will remain in effect until at least December 31, 2002, and its provisions will remain in place thereafter unless and until the Commission orders to the contrary."  IS, at 18.</w:t>
      </w:r>
    </w:p>
    <w:p>
      <w:pPr>
        <w:pStyle w:val="Normal"/>
        <w:numPr>
          <w:ilvl w:val="0"/>
          <w:numId w:val="12"/>
        </w:numPr>
        <w:rPr/>
      </w:pPr>
      <w:r>
        <w:rPr/>
        <w:t>Pg. 14: Why should assignors of storage capacity be released from secondary liability?</w:t>
      </w:r>
    </w:p>
    <w:p>
      <w:pPr>
        <w:pStyle w:val="Normal"/>
        <w:rPr/>
      </w:pPr>
      <w:r>
        <w:rPr/>
      </w:r>
    </w:p>
    <w:p>
      <w:pPr>
        <w:pStyle w:val="Normal"/>
        <w:spacing w:lineRule="auto" w:line="480"/>
        <w:ind w:start="720" w:end="0"/>
        <w:rPr/>
      </w:pPr>
      <w:r>
        <w:rPr/>
        <w:t>Assignors of storage capacity will not be released from secondary liability unless creditworthiness requirements are satisfied by a successor.  The IS provides: "Assignors of storage contracts will remain secondarily liable to SoCalGas in the event the assignee does not pay SoCalGas any amount owing under such contract, provided that an assignor shall not be secondarily liable if at the time of assignment it requests SoCalGas to release it of liability and the assignee then meets the credit worthiness standards for storage contract set forth in SoCalGas' tariff."  If the credit worthiness condition is satisfied, then SoCalGas should have reasonable assurance of being able to receive payment just as SoCalGas would have if the contract had not been assigned.</w:t>
      </w:r>
    </w:p>
    <w:p>
      <w:pPr>
        <w:pStyle w:val="Normal"/>
        <w:numPr>
          <w:ilvl w:val="0"/>
          <w:numId w:val="12"/>
        </w:numPr>
        <w:rPr/>
      </w:pPr>
      <w:r>
        <w:rPr/>
        <w:t>P. 14 - If OFO day trading commences the day after the OFO, is anything being traded on the OFO day itself?</w:t>
      </w:r>
    </w:p>
    <w:p>
      <w:pPr>
        <w:pStyle w:val="Normal"/>
        <w:rPr/>
      </w:pPr>
      <w:r>
        <w:rPr/>
      </w:r>
    </w:p>
    <w:p>
      <w:pPr>
        <w:pStyle w:val="Normal"/>
        <w:spacing w:lineRule="auto" w:line="480"/>
        <w:ind w:start="720" w:end="0"/>
        <w:rPr/>
      </w:pPr>
      <w:r>
        <w:rPr/>
        <w:t>Nothing is traded on the OFO day itself for the OFO day insofar as imbalances are not known.</w:t>
      </w:r>
    </w:p>
    <w:p>
      <w:pPr>
        <w:pStyle w:val="Normal"/>
        <w:numPr>
          <w:ilvl w:val="0"/>
          <w:numId w:val="12"/>
        </w:numPr>
        <w:rPr/>
      </w:pPr>
      <w:r>
        <w:rPr/>
        <w:t>If SoCalGas Gas Acquisition develops imbalances and generates penalties, will those show up in some account that will lead to ratepayers paying the penalties?  Will these penalties show up on the ratepayer bills?  In which account are the penalties recorded?  How are OFO penalties allocated?</w:t>
      </w:r>
    </w:p>
    <w:p>
      <w:pPr>
        <w:pStyle w:val="Normal"/>
        <w:rPr/>
      </w:pPr>
      <w:r>
        <w:rPr/>
      </w:r>
    </w:p>
    <w:p>
      <w:pPr>
        <w:pStyle w:val="Normal"/>
        <w:spacing w:lineRule="auto" w:line="480"/>
        <w:ind w:start="720" w:end="0"/>
        <w:rPr/>
      </w:pPr>
      <w:r>
        <w:rPr/>
        <w:t>The IS provides:  "Imbalance charge revenues will be applied to reduce customer transportation rates on an equal cents per therm basis."  Penalties incurred by Gas Acquisition should be included in the GCIM computation.</w:t>
      </w:r>
    </w:p>
    <w:p>
      <w:pPr>
        <w:pStyle w:val="Normal"/>
        <w:rPr/>
      </w:pPr>
      <w:r>
        <w:rPr/>
      </w:r>
    </w:p>
    <w:p>
      <w:pPr>
        <w:pStyle w:val="Normal"/>
        <w:numPr>
          <w:ilvl w:val="0"/>
          <w:numId w:val="12"/>
        </w:numPr>
        <w:rPr/>
      </w:pPr>
      <w:r>
        <w:rPr/>
        <w:t>VII., p. 16 - Explain the meaning of the following sentence: "The revenue requirement associated with any scalar applicable to the LRMC associated with storage capacity not accepted by CAT marketers will remain bundled in core transportation rates."  Is there an estimate of the difference between embedded cost and unscaled LRMC cost?  Why should LRMC scalar costs associated with revenue requirement remain in bundled core transport rates?</w:t>
      </w:r>
    </w:p>
    <w:p>
      <w:pPr>
        <w:pStyle w:val="Normal"/>
        <w:rPr/>
      </w:pPr>
      <w:r>
        <w:rPr/>
      </w:r>
    </w:p>
    <w:p>
      <w:pPr>
        <w:pStyle w:val="Normal"/>
        <w:spacing w:lineRule="auto" w:line="480"/>
        <w:ind w:start="720" w:end="0"/>
        <w:rPr/>
      </w:pPr>
      <w:r>
        <w:rPr/>
        <w:t xml:space="preserve">The revenue requirement associated with the scalar applicable to LRMC associated with storage capacity is isolated from risk of nonrecovery just as the revenue requirement associated with the scalar applicable to unbundled noncore capacity was insulated from risk of nonrecovery in the 1999 SoCalGas BCAP decision, D.00-04-060.  In the Joint Recommendation, the at-risk unbundled storage level was set at $21 million.  The fully scaled marginal cost of unbundled storage was determined to be approximately $31 million.  The difference between the fully scaled unbundled noncore storage revenue requirement and the agreed upon $21 million will be charged to the Noncore Storage Balancing Account ("NSBA") under the JR for full recovery from customers.  We do not have a dollar amount that is the equivalent of $10 million that was insulated from risk in the JR.  </w:t>
      </w:r>
    </w:p>
    <w:p>
      <w:pPr>
        <w:pStyle w:val="Normal"/>
        <w:numPr>
          <w:ilvl w:val="0"/>
          <w:numId w:val="12"/>
        </w:numPr>
        <w:spacing w:lineRule="auto" w:line="480"/>
        <w:rPr/>
      </w:pPr>
      <w:r>
        <w:rPr/>
        <w:t>Will it be possible for storage capacity ownership to be unknown?</w:t>
      </w:r>
    </w:p>
    <w:p>
      <w:pPr>
        <w:pStyle w:val="Normal"/>
        <w:spacing w:lineRule="auto" w:line="480"/>
        <w:ind w:start="720" w:end="0"/>
        <w:rPr/>
      </w:pPr>
      <w:r>
        <w:rPr/>
        <w:t>There is no provision in the IS for storage capacity ownership to be kept confidential.</w:t>
      </w:r>
    </w:p>
    <w:p>
      <w:pPr>
        <w:pStyle w:val="Normal"/>
        <w:spacing w:lineRule="auto" w:line="480"/>
        <w:ind w:start="720" w:end="0"/>
        <w:rPr/>
      </w:pPr>
      <w:r>
        <w:rPr/>
        <w:t>JOINT RECOMMENDATION</w:t>
      </w:r>
    </w:p>
    <w:p>
      <w:pPr>
        <w:pStyle w:val="Normal"/>
        <w:numPr>
          <w:ilvl w:val="0"/>
          <w:numId w:val="12"/>
        </w:numPr>
        <w:rPr/>
      </w:pPr>
      <w:r>
        <w:rPr/>
        <w:t>You understand that the Joint Recommendation had a sentence changed and that's how the Commission would adopt it?</w:t>
      </w:r>
    </w:p>
    <w:p>
      <w:pPr>
        <w:pStyle w:val="Normal"/>
        <w:rPr/>
      </w:pPr>
      <w:r>
        <w:rPr/>
      </w:r>
    </w:p>
    <w:p>
      <w:pPr>
        <w:pStyle w:val="Normal"/>
        <w:spacing w:lineRule="auto" w:line="480"/>
        <w:ind w:start="720" w:end="0"/>
        <w:rPr/>
      </w:pPr>
      <w:r>
        <w:rPr/>
        <w:t>Yes.</w:t>
      </w:r>
    </w:p>
    <w:p>
      <w:pPr>
        <w:pStyle w:val="Normal"/>
        <w:numPr>
          <w:ilvl w:val="0"/>
          <w:numId w:val="12"/>
        </w:numPr>
        <w:rPr/>
      </w:pPr>
      <w:r>
        <w:rPr/>
        <w:t>Provide that section of FERC order 637 that you wish to have officially notice.</w:t>
      </w:r>
    </w:p>
    <w:p>
      <w:pPr>
        <w:pStyle w:val="Normal"/>
        <w:rPr/>
      </w:pPr>
      <w:r>
        <w:rPr/>
      </w:r>
    </w:p>
    <w:p>
      <w:pPr>
        <w:pStyle w:val="Normal"/>
        <w:spacing w:lineRule="auto" w:line="480"/>
        <w:ind w:start="720" w:end="0"/>
        <w:rPr/>
      </w:pPr>
      <w:r>
        <w:rPr/>
        <w:t xml:space="preserve">This has been provided under separate cover. </w:t>
      </w:r>
    </w:p>
    <w:p>
      <w:pPr>
        <w:pStyle w:val="Normal"/>
        <w:numPr>
          <w:ilvl w:val="0"/>
          <w:numId w:val="12"/>
        </w:numPr>
        <w:rPr/>
      </w:pPr>
      <w:r>
        <w:rPr/>
        <w:t>Under the JR, which is adopted by the post-IS, numerous BCAP exhibits are referenced which haven't been introduced in this proceeding.  Please provide copies of the pertinent sections of each of the BCAP exhibits referenced in the JR.</w:t>
      </w:r>
    </w:p>
    <w:p>
      <w:pPr>
        <w:pStyle w:val="Normal"/>
        <w:rPr/>
      </w:pPr>
      <w:r>
        <w:rPr/>
      </w:r>
    </w:p>
    <w:p>
      <w:pPr>
        <w:pStyle w:val="Normal"/>
        <w:rPr/>
      </w:pPr>
      <w:r>
        <w:rPr/>
        <w:tab/>
        <w:t>These will be provided under separate cover.</w:t>
      </w:r>
    </w:p>
    <w:p>
      <w:pPr>
        <w:pStyle w:val="Normal"/>
        <w:rPr/>
      </w:pPr>
      <w:r>
        <w:rPr/>
      </w:r>
    </w:p>
    <w:p>
      <w:pPr>
        <w:pStyle w:val="Normal"/>
        <w:rPr/>
      </w:pPr>
      <w:r>
        <w:rPr/>
        <w:tab/>
      </w:r>
      <w:r>
        <w:rPr>
          <w:b/>
        </w:rPr>
        <w:t>APPENDIX E</w:t>
      </w:r>
    </w:p>
    <w:p>
      <w:pPr>
        <w:pStyle w:val="Normal"/>
        <w:rPr/>
      </w:pPr>
      <w:r>
        <w:rPr/>
      </w:r>
    </w:p>
    <w:p>
      <w:pPr>
        <w:pStyle w:val="Normal"/>
        <w:numPr>
          <w:ilvl w:val="0"/>
          <w:numId w:val="12"/>
        </w:numPr>
        <w:rPr/>
      </w:pPr>
      <w:r>
        <w:rPr/>
        <w:t>Why calibrate residual volume to billing amount, instead of calibrating billing to daily volume residuals?  If billing amount is most accurate, why not just use it?</w:t>
      </w:r>
    </w:p>
    <w:p>
      <w:pPr>
        <w:pStyle w:val="Normal"/>
        <w:rPr/>
      </w:pPr>
      <w:r>
        <w:rPr/>
      </w:r>
    </w:p>
    <w:p>
      <w:pPr>
        <w:pStyle w:val="Normal"/>
        <w:rPr/>
      </w:pPr>
      <w:r>
        <w:rPr/>
        <w:tab/>
        <w:t>This appendix was prepared by SoCalGas.</w:t>
      </w:r>
    </w:p>
    <w:p>
      <w:pPr>
        <w:pStyle w:val="Normal"/>
        <w:rPr/>
      </w:pPr>
      <w:r>
        <w:rPr/>
      </w:r>
    </w:p>
    <w:p>
      <w:pPr>
        <w:pStyle w:val="Normal"/>
        <w:numPr>
          <w:ilvl w:val="0"/>
          <w:numId w:val="12"/>
        </w:numPr>
        <w:rPr/>
      </w:pPr>
      <w:r>
        <mc:AlternateContent>
          <mc:Choice Requires="wps">
            <w:drawing>
              <wp:anchor behindDoc="0" distT="0" distB="0" distL="114935" distR="114935" simplePos="0" locked="0" layoutInCell="1" allowOverlap="1" relativeHeight="20">
                <wp:simplePos x="0" y="0"/>
                <wp:positionH relativeFrom="column">
                  <wp:posOffset>3108960</wp:posOffset>
                </wp:positionH>
                <wp:positionV relativeFrom="paragraph">
                  <wp:posOffset>281940</wp:posOffset>
                </wp:positionV>
                <wp:extent cx="0" cy="0"/>
                <wp:effectExtent l="5080" t="5080" r="5080" b="5080"/>
                <wp:wrapNone/>
                <wp:docPr id="2"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44.8pt,22.2pt" to="244.8pt,22.2pt" stroked="t" o:allowincell="f" style="position:absolute">
                <v:stroke color="black" weight="9360" joinstyle="miter" endcap="flat"/>
                <v:fill o:detectmouseclick="t" on="false"/>
                <w10:wrap type="none"/>
              </v:line>
            </w:pict>
          </mc:Fallback>
        </mc:AlternateContent>
      </w:r>
      <w:r>
        <w:rPr/>
        <w:t>APPENDIX G,</w:t>
      </w:r>
    </w:p>
    <w:p>
      <w:pPr>
        <w:pStyle w:val="Normal"/>
        <w:rPr/>
      </w:pPr>
      <w:r>
        <w:rPr/>
      </w:r>
    </w:p>
    <w:p>
      <w:pPr>
        <w:pStyle w:val="Normal"/>
        <w:tabs>
          <w:tab w:val="clear" w:pos="720"/>
          <w:tab w:val="left" w:pos="450" w:leader="none"/>
        </w:tabs>
        <w:rPr/>
      </w:pPr>
      <w:r>
        <w:rPr/>
        <w:tab/>
        <w:t>Schedule G-IMB, Sheet 1 - Is the charge in addition to actual gas cost?  Answer: Yes.</w:t>
      </w:r>
    </w:p>
    <w:p>
      <w:pPr>
        <w:pStyle w:val="Normal"/>
        <w:tabs>
          <w:tab w:val="clear" w:pos="720"/>
          <w:tab w:val="left" w:pos="450" w:leader="none"/>
        </w:tabs>
        <w:rPr/>
      </w:pPr>
      <w:r>
        <w:rPr/>
        <w:tab/>
        <w:tab/>
        <w:tab/>
        <w:tab/>
        <w:t xml:space="preserve"> Sheet 2, No. 5: - Why is imbalance trading not allowed for Gas Acquisition and core aggregation customers?  </w:t>
      </w:r>
    </w:p>
    <w:p>
      <w:pPr>
        <w:pStyle w:val="Normal"/>
        <w:tabs>
          <w:tab w:val="clear" w:pos="720"/>
          <w:tab w:val="left" w:pos="450" w:leader="none"/>
        </w:tabs>
        <w:rPr/>
      </w:pPr>
      <w:r>
        <w:rPr/>
      </w:r>
    </w:p>
    <w:p>
      <w:pPr>
        <w:pStyle w:val="Normal"/>
        <w:tabs>
          <w:tab w:val="clear" w:pos="720"/>
          <w:tab w:val="left" w:pos="450" w:leader="none"/>
        </w:tabs>
        <w:spacing w:lineRule="auto" w:line="480"/>
        <w:ind w:start="450" w:end="0"/>
        <w:rPr/>
      </w:pPr>
      <w:r>
        <w:rPr/>
        <w:t>This provision applies if Gas Acquisition or core aggregation customers deliver less than 50% of their assigned interstate pipeline capacity or DCA during the winter.  Thus, it is a minimum flowing supply imbalance charge, not a charge for monthly or daily imbalances.</w:t>
      </w:r>
    </w:p>
    <w:p>
      <w:pPr>
        <w:pStyle w:val="Normal"/>
        <w:tabs>
          <w:tab w:val="clear" w:pos="720"/>
          <w:tab w:val="left" w:pos="450" w:leader="none"/>
        </w:tabs>
        <w:ind w:start="450" w:end="0"/>
        <w:rPr/>
      </w:pPr>
      <w:r>
        <w:rPr/>
      </w:r>
    </w:p>
    <w:p>
      <w:pPr>
        <w:pStyle w:val="Normal"/>
        <w:tabs>
          <w:tab w:val="clear" w:pos="720"/>
          <w:tab w:val="left" w:pos="450" w:leader="none"/>
        </w:tabs>
        <w:rPr/>
      </w:pPr>
      <w:r>
        <w:rPr/>
        <w:tab/>
        <w:tab/>
        <w:tab/>
        <w:tab/>
        <w:t xml:space="preserve"> Sheet 3 - How does the processing fee get recorded and allocated?</w:t>
      </w:r>
    </w:p>
    <w:p>
      <w:pPr>
        <w:pStyle w:val="Normal"/>
        <w:tabs>
          <w:tab w:val="clear" w:pos="720"/>
          <w:tab w:val="left" w:pos="450" w:leader="none"/>
        </w:tabs>
        <w:rPr/>
      </w:pPr>
      <w:r>
        <w:rPr/>
      </w:r>
    </w:p>
    <w:p>
      <w:pPr>
        <w:pStyle w:val="Normal"/>
        <w:tabs>
          <w:tab w:val="clear" w:pos="720"/>
          <w:tab w:val="left" w:pos="450" w:leader="none"/>
        </w:tabs>
        <w:rPr/>
      </w:pPr>
      <w:r>
        <w:rPr/>
        <w:tab/>
        <w:tab/>
        <w:tab/>
        <w:tab/>
        <w:t xml:space="preserve"> Sheet 4 - How does core supply carry-forward interact with not trading of imbalances?  Doesn't this generate a snowball effect?  Why should these conditions only be applicable to the core?</w:t>
      </w:r>
    </w:p>
    <w:p>
      <w:pPr>
        <w:pStyle w:val="Normal"/>
        <w:tabs>
          <w:tab w:val="clear" w:pos="720"/>
          <w:tab w:val="left" w:pos="450" w:leader="none"/>
        </w:tabs>
        <w:rPr/>
      </w:pPr>
      <w:r>
        <w:rPr/>
      </w:r>
    </w:p>
    <w:p>
      <w:pPr>
        <w:pStyle w:val="Normal"/>
        <w:tabs>
          <w:tab w:val="clear" w:pos="720"/>
          <w:tab w:val="left" w:pos="450" w:leader="none"/>
        </w:tabs>
        <w:spacing w:lineRule="auto" w:line="480"/>
        <w:ind w:start="720" w:end="0"/>
        <w:rPr/>
      </w:pPr>
      <w:r>
        <w:rPr/>
        <w:t>These provisions do not apply to noncore customers because the determination of their imbalances does not involve a forecast.  There could be a "snowball effect" if forecasts were consistently wrong in the same direction.  Forecasts for a current month should take into account the true-up for a previous month so that they could be taken into account in imbalance trading for the current month.</w:t>
      </w:r>
    </w:p>
    <w:sectPr>
      <w:footerReference w:type="default" r:id="rId2"/>
      <w:type w:val="nextPage"/>
      <w:pgSz w:w="12240" w:h="15840"/>
      <w:pgMar w:left="1440" w:right="1440" w:gutter="0" w:header="0" w:top="1440" w:footer="57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LA-1068861v.2</w:t>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530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1800"/>
        </w:tabs>
        <w:ind w:start="180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color w:val="auto"/>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sz w:val="24"/>
    </w:rPr>
  </w:style>
  <w:style w:type="character" w:styleId="EndnoteCharacters">
    <w:name w:val="Endnote Characters"/>
    <w:basedOn w:val="DefaultParagraphFont"/>
    <w:qFormat/>
    <w:rPr>
      <w:rFonts w:ascii="Times New Roman" w:hAnsi="Times New Roman" w:cs="Times New Roman"/>
      <w:sz w:val="24"/>
      <w:vertAlign w:val="superscript"/>
    </w:rPr>
  </w:style>
  <w:style w:type="character" w:styleId="FollowedHyperlink">
    <w:name w:val="FollowedHyperlink"/>
    <w:basedOn w:val="DefaultParagraphFont"/>
    <w:rPr>
      <w:rFonts w:ascii="Times New Roman" w:hAnsi="Times New Roman" w:cs="Times New Roman"/>
      <w:color w:val="800080"/>
      <w:sz w:val="24"/>
      <w:u w:val="single"/>
    </w:rPr>
  </w:style>
  <w:style w:type="character" w:styleId="FootnoteCharacters">
    <w:name w:val="Footnote Characters"/>
    <w:basedOn w:val="DefaultParagraphFont"/>
    <w:qFormat/>
    <w:rPr>
      <w:rFonts w:ascii="Times New Roman" w:hAnsi="Times New Roman" w:cs="Times New Roman"/>
      <w:sz w:val="24"/>
      <w:vertAlign w:val="superscript"/>
    </w:rPr>
  </w:style>
  <w:style w:type="character" w:styleId="Hyperlink">
    <w:name w:val="Hyperlink"/>
    <w:basedOn w:val="DefaultParagraphFont"/>
    <w:rPr>
      <w:rFonts w:ascii="Times New Roman" w:hAnsi="Times New Roman" w:cs="Times New Roman"/>
      <w:color w:val="0000FF"/>
      <w:sz w:val="24"/>
      <w:u w:val="single"/>
    </w:rPr>
  </w:style>
  <w:style w:type="character" w:styleId="LineNumber">
    <w:name w:val="line number"/>
    <w:basedOn w:val="DefaultParagraphFont"/>
    <w:rPr>
      <w:rFonts w:ascii="Times New Roman" w:hAnsi="Times New Roman" w:cs="Times New Roman"/>
      <w:sz w:val="24"/>
    </w:rPr>
  </w:style>
  <w:style w:type="character" w:styleId="PageNumber">
    <w:name w:val="page number"/>
    <w:basedOn w:val="DefaultParagraphFont"/>
    <w:rPr>
      <w:sz w:val="24"/>
    </w:rPr>
  </w:style>
  <w:style w:type="character" w:styleId="Strong">
    <w:name w:val="Strong"/>
    <w:basedOn w:val="DefaultParagraphFont"/>
    <w:qFormat/>
    <w:rPr>
      <w:rFonts w:ascii="Times New Roman" w:hAnsi="Times New Roman" w:cs="Times New Roman"/>
      <w:b/>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ind w:firstLine="720" w:start="0" w:end="0"/>
    </w:pPr>
    <w:rPr/>
  </w:style>
  <w:style w:type="paragraph" w:styleId="List">
    <w:name w:val="List"/>
    <w:basedOn w:val="Normal"/>
    <w:pPr>
      <w:ind w:hanging="360" w:start="360" w:end="0"/>
    </w:pPr>
    <w:rPr/>
  </w:style>
  <w:style w:type="paragraph" w:styleId="Caption">
    <w:name w:val="caption"/>
    <w:basedOn w:val="Normal"/>
    <w:next w:val="BodyText"/>
    <w:qFormat/>
    <w:pPr>
      <w:spacing w:before="0" w:after="240"/>
    </w:pPr>
    <w:rPr>
      <w:b/>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4"/>
      <w:szCs w:val="20"/>
      <w:lang w:val="en-US" w:eastAsia="zh-CN" w:bidi="hi-IN"/>
    </w:rPr>
  </w:style>
  <w:style w:type="paragraph" w:styleId="BlockText">
    <w:name w:val="Block Text"/>
    <w:basedOn w:val="Normal"/>
    <w:qFormat/>
    <w:pPr>
      <w:spacing w:before="0" w:after="240"/>
    </w:pPr>
    <w:rPr/>
  </w:style>
  <w:style w:type="paragraph" w:styleId="BodyText2">
    <w:name w:val="Body Text 2"/>
    <w:basedOn w:val="Normal"/>
    <w:qFormat/>
    <w:pPr>
      <w:spacing w:lineRule="auto" w:line="480"/>
      <w:ind w:firstLine="720" w:start="0" w:end="0"/>
    </w:pPr>
    <w:rPr/>
  </w:style>
  <w:style w:type="paragraph" w:styleId="BodyText3">
    <w:name w:val="Body Text 3"/>
    <w:basedOn w:val="Normal"/>
    <w:qFormat/>
    <w:pPr>
      <w:spacing w:lineRule="auto" w:line="36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lineRule="auto" w:line="480"/>
      <w:ind w:firstLine="1440" w:start="0" w:end="0"/>
    </w:pPr>
    <w:rPr/>
  </w:style>
  <w:style w:type="paragraph" w:styleId="BodyTextIndent2">
    <w:name w:val="Body Text Indent 2"/>
    <w:basedOn w:val="Normal"/>
    <w:qFormat/>
    <w:pPr>
      <w:spacing w:lineRule="auto" w:line="480"/>
      <w:ind w:hanging="0" w:start="720" w:end="0"/>
    </w:pPr>
    <w:rPr/>
  </w:style>
  <w:style w:type="paragraph" w:styleId="BodyTextIndent3">
    <w:name w:val="Body Text Indent 3"/>
    <w:basedOn w:val="Normal"/>
    <w:qFormat/>
    <w:pPr>
      <w:spacing w:lineRule="auto" w:line="360"/>
      <w:ind w:hanging="0" w:start="720" w:end="0"/>
    </w:pPr>
    <w:rPr/>
  </w:style>
  <w:style w:type="paragraph" w:styleId="Closing">
    <w:name w:val="Closing"/>
    <w:basedOn w:val="Normal"/>
    <w:next w:val="Signature"/>
    <w:qFormat/>
    <w:pPr>
      <w:keepNext w:val="true"/>
      <w:spacing w:before="0" w:after="960"/>
      <w:ind w:hanging="0" w:start="4680" w:end="0"/>
    </w:pPr>
    <w:rPr/>
  </w:style>
  <w:style w:type="paragraph" w:styleId="EndnoteText">
    <w:name w:val="endnote text"/>
    <w:basedOn w:val="Normal"/>
    <w:pPr>
      <w:spacing w:before="0" w:after="120"/>
      <w:ind w:hanging="0" w:start="720" w:end="0"/>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z w:val="20"/>
    </w:rPr>
  </w:style>
  <w:style w:type="paragraph" w:styleId="Header">
    <w:name w:val="header"/>
    <w:basedOn w:val="Normal"/>
    <w:pPr>
      <w:tabs>
        <w:tab w:val="clear" w:pos="720"/>
        <w:tab w:val="center" w:pos="4680" w:leader="none"/>
        <w:tab w:val="right" w:pos="9360" w:leader="none"/>
      </w:tabs>
    </w:pPr>
    <w:rPr/>
  </w:style>
  <w:style w:type="paragraph" w:styleId="Index1">
    <w:name w:val="index 1"/>
    <w:basedOn w:val="Normal"/>
    <w:next w:val="BodyText"/>
    <w:pPr>
      <w:ind w:hanging="245" w:start="245" w:end="0"/>
    </w:pPr>
    <w:rPr/>
  </w:style>
  <w:style w:type="paragraph" w:styleId="IndexHeading">
    <w:name w:val="index heading"/>
    <w:basedOn w:val="Normal"/>
    <w:next w:val="Index1"/>
    <w:pPr>
      <w:spacing w:before="0" w:after="240"/>
      <w:jc w:val="center"/>
      <w:outlineLvl w:val="0"/>
    </w:pPr>
    <w:rPr>
      <w:b/>
    </w:rPr>
  </w:style>
  <w:style w:type="paragraph" w:styleId="ListBullet">
    <w:name w:val="List Bullet"/>
    <w:basedOn w:val="Normal"/>
    <w:qFormat/>
    <w:pPr>
      <w:numPr>
        <w:ilvl w:val="0"/>
        <w:numId w:val="9"/>
      </w:numPr>
      <w:tabs>
        <w:tab w:val="left" w:pos="720" w:leader="none"/>
      </w:tabs>
      <w:ind w:hanging="720" w:start="720" w:end="0"/>
    </w:pPr>
    <w:rPr/>
  </w:style>
  <w:style w:type="paragraph" w:styleId="ListBullet21">
    <w:name w:val="List Bullet 21"/>
    <w:basedOn w:val="Normal"/>
    <w:qFormat/>
    <w:pPr>
      <w:numPr>
        <w:ilvl w:val="0"/>
        <w:numId w:val="7"/>
      </w:numPr>
      <w:tabs>
        <w:tab w:val="clear" w:pos="720"/>
      </w:tabs>
      <w:ind w:hanging="720" w:start="1440" w:end="0"/>
    </w:pPr>
    <w:rPr/>
  </w:style>
  <w:style w:type="paragraph" w:styleId="PlainText">
    <w:name w:val="Plain Text"/>
    <w:basedOn w:val="Normal"/>
    <w:qFormat/>
    <w:pPr/>
    <w:rPr>
      <w:sz w:val="20"/>
    </w:rPr>
  </w:style>
  <w:style w:type="paragraph" w:styleId="Signature">
    <w:name w:val="Signature"/>
    <w:basedOn w:val="Normal"/>
    <w:pPr>
      <w:tabs>
        <w:tab w:val="clear" w:pos="720"/>
        <w:tab w:val="right" w:pos="9360" w:leader="underscore"/>
      </w:tabs>
      <w:ind w:hanging="0" w:start="4680" w:end="0"/>
    </w:pPr>
    <w:rPr/>
  </w:style>
  <w:style w:type="paragraph" w:styleId="Subtitle">
    <w:name w:val="Subtitle"/>
    <w:basedOn w:val="Normal"/>
    <w:next w:val="BodyText"/>
    <w:qFormat/>
    <w:pPr>
      <w:keepNext w:val="true"/>
      <w:spacing w:before="0" w:after="240"/>
      <w:jc w:val="center"/>
    </w:pPr>
    <w:rPr>
      <w:b/>
    </w:rPr>
  </w:style>
  <w:style w:type="paragraph" w:styleId="TableofAuthorities">
    <w:name w:val="Table of Authorities"/>
    <w:basedOn w:val="Normal"/>
    <w:next w:val="Normal"/>
    <w:qFormat/>
    <w:pPr>
      <w:spacing w:before="0" w:after="120"/>
      <w:ind w:hanging="245" w:start="245" w:end="0"/>
    </w:pPr>
    <w:rPr/>
  </w:style>
  <w:style w:type="paragraph" w:styleId="BodyTextFirstIndent3">
    <w:name w:val="Body Text First Indent 3"/>
    <w:basedOn w:val="Normal"/>
    <w:qFormat/>
    <w:pPr>
      <w:spacing w:lineRule="auto" w:line="360"/>
      <w:ind w:firstLine="1440" w:start="0" w:end="0"/>
    </w:pPr>
    <w:rPr/>
  </w:style>
  <w:style w:type="paragraph" w:styleId="Quote">
    <w:name w:val="Quote"/>
    <w:basedOn w:val="Normal"/>
    <w:next w:val="BodyText"/>
    <w:qFormat/>
    <w:pPr>
      <w:spacing w:before="0" w:after="240"/>
      <w:ind w:hanging="0" w:start="1440" w:end="1440"/>
    </w:pPr>
    <w:rPr/>
  </w:style>
  <w:style w:type="paragraph" w:styleId="Bold">
    <w:name w:val="Bold"/>
    <w:basedOn w:val="Normal"/>
    <w:next w:val="BodyText"/>
    <w:qFormat/>
    <w:pPr>
      <w:keepNext w:val="true"/>
      <w:spacing w:before="0" w:after="240"/>
    </w:pPr>
    <w:rPr>
      <w:b/>
    </w:rPr>
  </w:style>
  <w:style w:type="paragraph" w:styleId="BoldCapCenter">
    <w:name w:val="BoldCapCenter"/>
    <w:basedOn w:val="Normal"/>
    <w:next w:val="BodyText"/>
    <w:qFormat/>
    <w:pPr>
      <w:keepNext w:val="true"/>
      <w:spacing w:before="0" w:after="240"/>
      <w:jc w:val="center"/>
    </w:pPr>
    <w:rPr>
      <w:b/>
      <w:caps/>
    </w:rPr>
  </w:style>
  <w:style w:type="paragraph" w:styleId="Underline">
    <w:name w:val="Underline"/>
    <w:basedOn w:val="Normal"/>
    <w:next w:val="BodyText"/>
    <w:qFormat/>
    <w:pPr>
      <w:keepNext w:val="true"/>
      <w:spacing w:before="0" w:after="240"/>
    </w:pPr>
    <w:rPr>
      <w:u w:val="single"/>
    </w:rPr>
  </w:style>
  <w:style w:type="paragraph" w:styleId="Italic">
    <w:name w:val="Italic"/>
    <w:basedOn w:val="Normal"/>
    <w:next w:val="BodyText"/>
    <w:qFormat/>
    <w:pPr>
      <w:keepNext w:val="true"/>
      <w:spacing w:before="0" w:after="240"/>
    </w:pPr>
    <w:rPr>
      <w:i/>
    </w:rPr>
  </w:style>
  <w:style w:type="paragraph" w:styleId="ListContinue5">
    <w:name w:val="List Continue 5"/>
    <w:basedOn w:val="Normal"/>
    <w:qFormat/>
    <w:pPr>
      <w:spacing w:before="0" w:after="120"/>
      <w:ind w:hanging="0" w:start="1800" w:end="0"/>
    </w:pPr>
    <w:rPr/>
  </w:style>
  <w:style w:type="paragraph" w:styleId="CommentText">
    <w:name w:val="Comment Text"/>
    <w:basedOn w:val="Normal"/>
    <w:qFormat/>
    <w:pPr/>
    <w:rPr>
      <w:sz w:val="20"/>
    </w:rPr>
  </w:style>
  <w:style w:type="paragraph" w:styleId="Date">
    <w:name w:val="Date"/>
    <w:basedOn w:val="Normal"/>
    <w:next w:val="Normal"/>
    <w:qFormat/>
    <w:pPr>
      <w:spacing w:before="0" w:after="240"/>
    </w:pPr>
    <w:rPr/>
  </w:style>
  <w:style w:type="paragraph" w:styleId="DocumentMap">
    <w:name w:val="Document Map"/>
    <w:basedOn w:val="Normal"/>
    <w:qFormat/>
    <w:pPr>
      <w:shd w:fill="000080" w:val="clear"/>
    </w:pPr>
    <w:rPr>
      <w:sz w:val="20"/>
    </w:rPr>
  </w:style>
  <w:style w:type="paragraph" w:styleId="Index2">
    <w:name w:val="index 2"/>
    <w:basedOn w:val="Normal"/>
    <w:next w:val="BodyText"/>
    <w:pPr>
      <w:ind w:hanging="202" w:start="404" w:end="0"/>
    </w:pPr>
    <w:rPr/>
  </w:style>
  <w:style w:type="paragraph" w:styleId="Index3">
    <w:name w:val="index 3"/>
    <w:basedOn w:val="Normal"/>
    <w:next w:val="BodyText"/>
    <w:pPr>
      <w:ind w:hanging="202" w:start="605" w:end="0"/>
    </w:pPr>
    <w:rPr/>
  </w:style>
  <w:style w:type="paragraph" w:styleId="Index4">
    <w:name w:val="Index 4"/>
    <w:basedOn w:val="Normal"/>
    <w:next w:val="BodyText"/>
    <w:qFormat/>
    <w:pPr>
      <w:ind w:hanging="202" w:start="807" w:end="0"/>
    </w:pPr>
    <w:rPr/>
  </w:style>
  <w:style w:type="paragraph" w:styleId="Index5">
    <w:name w:val="Index 5"/>
    <w:basedOn w:val="Normal"/>
    <w:next w:val="BodyText"/>
    <w:qFormat/>
    <w:pPr>
      <w:ind w:hanging="202" w:start="1008" w:end="0"/>
    </w:pPr>
    <w:rPr/>
  </w:style>
  <w:style w:type="paragraph" w:styleId="Index6">
    <w:name w:val="Index 6"/>
    <w:basedOn w:val="Normal"/>
    <w:next w:val="BodyText"/>
    <w:qFormat/>
    <w:pPr>
      <w:ind w:hanging="202" w:start="1196" w:end="0"/>
    </w:pPr>
    <w:rPr/>
  </w:style>
  <w:style w:type="paragraph" w:styleId="Index7">
    <w:name w:val="Index 7"/>
    <w:basedOn w:val="Normal"/>
    <w:next w:val="BodyText"/>
    <w:qFormat/>
    <w:pPr>
      <w:ind w:hanging="202" w:start="1397" w:end="0"/>
    </w:pPr>
    <w:rPr/>
  </w:style>
  <w:style w:type="paragraph" w:styleId="Index8">
    <w:name w:val="Index 8"/>
    <w:basedOn w:val="Normal"/>
    <w:next w:val="BodyText"/>
    <w:qFormat/>
    <w:pPr>
      <w:ind w:hanging="202" w:start="1599" w:end="0"/>
    </w:pPr>
    <w:rPr/>
  </w:style>
  <w:style w:type="paragraph" w:styleId="Index9">
    <w:name w:val="Index 9"/>
    <w:basedOn w:val="Normal"/>
    <w:next w:val="BodyText"/>
    <w:qFormat/>
    <w:pPr>
      <w:ind w:hanging="202" w:start="180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31">
    <w:name w:val="List Bullet 31"/>
    <w:basedOn w:val="Normal"/>
    <w:qFormat/>
    <w:pPr>
      <w:numPr>
        <w:ilvl w:val="0"/>
        <w:numId w:val="6"/>
      </w:numPr>
      <w:tabs>
        <w:tab w:val="left" w:pos="720" w:leader="none"/>
      </w:tabs>
      <w:ind w:hanging="720" w:start="2160" w:end="0"/>
    </w:pPr>
    <w:rPr/>
  </w:style>
  <w:style w:type="paragraph" w:styleId="ListBullet41">
    <w:name w:val="List Bullet 41"/>
    <w:basedOn w:val="Normal"/>
    <w:qFormat/>
    <w:pPr>
      <w:numPr>
        <w:ilvl w:val="0"/>
        <w:numId w:val="5"/>
      </w:numPr>
      <w:tabs>
        <w:tab w:val="left" w:pos="720" w:leader="none"/>
      </w:tabs>
      <w:ind w:hanging="720" w:start="2880" w:end="0"/>
    </w:pPr>
    <w:rPr/>
  </w:style>
  <w:style w:type="paragraph" w:styleId="ListBullet51">
    <w:name w:val="List Bullet 51"/>
    <w:basedOn w:val="Normal"/>
    <w:qFormat/>
    <w:pPr>
      <w:numPr>
        <w:ilvl w:val="0"/>
        <w:numId w:val="4"/>
      </w:numPr>
      <w:tabs>
        <w:tab w:val="left" w:pos="720" w:leader="none"/>
      </w:tabs>
      <w:ind w:hanging="720" w:start="36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Number">
    <w:name w:val="List Number"/>
    <w:basedOn w:val="Normal"/>
    <w:qFormat/>
    <w:pPr>
      <w:numPr>
        <w:ilvl w:val="0"/>
        <w:numId w:val="8"/>
      </w:numPr>
    </w:pPr>
    <w:rPr/>
  </w:style>
  <w:style w:type="paragraph" w:styleId="ListNumber2">
    <w:name w:val="List Number 2"/>
    <w:basedOn w:val="Normal"/>
    <w:qFormat/>
    <w:pPr>
      <w:numPr>
        <w:ilvl w:val="0"/>
        <w:numId w:val="3"/>
      </w:numPr>
    </w:pPr>
    <w:rPr/>
  </w:style>
  <w:style w:type="paragraph" w:styleId="ListNumber3">
    <w:name w:val="List Number 3"/>
    <w:basedOn w:val="Normal"/>
    <w:qFormat/>
    <w:pPr>
      <w:numPr>
        <w:ilvl w:val="0"/>
        <w:numId w:val="2"/>
      </w:numPr>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rmalIndent">
    <w:name w:val="Normal Indent"/>
    <w:basedOn w:val="Normal"/>
    <w:qFormat/>
    <w:pPr>
      <w:ind w:hanging="0" w:start="720" w:end="0"/>
    </w:pPr>
    <w:rPr/>
  </w:style>
  <w:style w:type="paragraph" w:styleId="TableofFigures">
    <w:name w:val="Table of Figures"/>
    <w:basedOn w:val="Normal"/>
    <w:next w:val="Normal"/>
    <w:qFormat/>
    <w:pPr>
      <w:spacing w:before="0" w:after="120"/>
      <w:ind w:hanging="475" w:start="475" w:end="0"/>
    </w:pPr>
    <w:rPr/>
  </w:style>
  <w:style w:type="paragraph" w:styleId="TOAHeading">
    <w:name w:val="TOA Heading"/>
    <w:basedOn w:val="Normal"/>
    <w:next w:val="Normal"/>
    <w:qFormat/>
    <w:pPr>
      <w:spacing w:before="0" w:after="240"/>
      <w:jc w:val="center"/>
      <w:outlineLvl w:val="0"/>
    </w:pPr>
    <w:rPr>
      <w:b/>
    </w:rPr>
  </w:style>
  <w:style w:type="paragraph" w:styleId="TOC2">
    <w:name w:val="toc 2"/>
    <w:basedOn w:val="Normal"/>
    <w:next w:val="Normal"/>
    <w:pPr>
      <w:ind w:hanging="0" w:start="240" w:end="0"/>
    </w:pPr>
    <w:rPr/>
  </w:style>
  <w:style w:type="paragraph" w:styleId="NoteHeading">
    <w:name w:val="Note Heading"/>
    <w:basedOn w:val="Normal"/>
    <w:next w:val="BodyText"/>
    <w:qFormat/>
    <w:pPr/>
    <w:rPr/>
  </w:style>
  <w:style w:type="paragraph" w:styleId="Salutation">
    <w:name w:val="Salutation"/>
    <w:basedOn w:val="Normal"/>
    <w:next w:val="BodyText"/>
    <w:qFormat/>
    <w:pPr>
      <w:spacing w:before="0" w:after="240"/>
    </w:pPr>
    <w:rPr/>
  </w:style>
  <w:style w:type="paragraph" w:styleId="TOC1">
    <w:name w:val="toc 1"/>
    <w:basedOn w:val="Normal"/>
    <w:next w:val="Normal"/>
    <w:pPr/>
    <w:rPr/>
  </w:style>
  <w:style w:type="paragraph" w:styleId="TOC9">
    <w:name w:val="toc 9"/>
    <w:basedOn w:val="Normal"/>
    <w:next w:val="Normal"/>
    <w:pPr>
      <w:ind w:hanging="0" w:start="1920" w:end="0"/>
    </w:pPr>
    <w:rPr/>
  </w:style>
  <w:style w:type="paragraph" w:styleId="TOC8">
    <w:name w:val="toc 8"/>
    <w:basedOn w:val="Normal"/>
    <w:next w:val="Normal"/>
    <w:pPr>
      <w:ind w:hanging="0" w:start="1680" w:end="0"/>
    </w:pPr>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5">
    <w:name w:val="toc 5"/>
    <w:basedOn w:val="Normal"/>
    <w:next w:val="Normal"/>
    <w:pPr>
      <w:ind w:hanging="0" w:start="96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2000-05-31T20:51:00Z</dcterms:created>
  <dc:creator>Registered User</dc:creator>
  <dc:description/>
  <dc:language>en-CA</dc:language>
  <cp:lastModifiedBy>Marcel Hawiger</cp:lastModifiedBy>
  <cp:lastPrinted>2000-05-31T08:34:00Z</cp:lastPrinted>
  <dcterms:modified xsi:type="dcterms:W3CDTF">2000-05-31T20:51:00Z</dcterms:modified>
  <cp:revision>2</cp:revision>
  <dc:subject/>
  <dc:title>RESPONSES OF SCGC AND TURN</dc:title>
</cp:coreProperties>
</file>