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r>
        <mc:AlternateContent>
          <mc:Choice Requires="wps">
            <w:drawing>
              <wp:anchor behindDoc="0" distT="0" distB="0" distL="114300" distR="114300" simplePos="0" locked="0" layoutInCell="0" allowOverlap="1" relativeHeight="2">
                <wp:simplePos x="0" y="0"/>
                <wp:positionH relativeFrom="page">
                  <wp:posOffset>637540</wp:posOffset>
                </wp:positionH>
                <wp:positionV relativeFrom="paragraph">
                  <wp:posOffset>-262890</wp:posOffset>
                </wp:positionV>
                <wp:extent cx="4254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42545" cy="175260"/>
                        </a:xfrm>
                        <a:prstGeom prst="rect"/>
                        <a:solidFill>
                          <a:srgbClr val="FFFFFF">
                            <a:alpha val="0"/>
                          </a:srgbClr>
                        </a:solidFill>
                      </wps:spPr>
                      <wps:txbx>
                        <w:txbxContent>
                          <w:p>
                            <w:pPr>
                              <w:pStyle w:val="Normal"/>
                              <w:rPr>
                                <w:rFonts w:eastAsia="Arial"/>
                              </w:rPr>
                            </w:pPr>
                            <w:r>
                              <w:rPr>
                                <w:rFonts w:eastAsia="Arial"/>
                              </w:rPr>
                              <w:t xml:space="preserve">                                                                                                                                                                                                                                                                                                                                   </w:t>
                            </w:r>
                          </w:p>
                        </w:txbxContent>
                      </wps:txbx>
                      <wps:bodyPr anchor="t" lIns="0" tIns="0" rIns="0" bIns="0">
                        <a:noAutofit/>
                      </wps:bodyPr>
                    </wps:wsp>
                  </a:graphicData>
                </a:graphic>
              </wp:anchor>
            </w:drawing>
          </mc:Choice>
          <mc:Fallback>
            <w:pict>
              <v:rect fillcolor="#FFFFFF" style="position:absolute;rotation:-0;width:3.35pt;height:13.8pt;mso-wrap-distance-left:9pt;mso-wrap-distance-right:9pt;mso-wrap-distance-top:0pt;mso-wrap-distance-bottom:0pt;margin-top:-20.7pt;mso-position-vertical-relative:text;margin-left:50.2pt;mso-position-horizontal-relative:page">
                <v:fill opacity="0f"/>
                <v:textbox inset="0in,0in,0in,0in">
                  <w:txbxContent>
                    <w:p>
                      <w:pPr>
                        <w:pStyle w:val="Normal"/>
                        <w:rPr>
                          <w:rFonts w:eastAsia="Arial"/>
                        </w:rPr>
                      </w:pPr>
                      <w:r>
                        <w:rPr>
                          <w:rFonts w:eastAsia="Arial"/>
                        </w:rPr>
                        <w:t xml:space="preserve">                                                                                                                                                                                                                                                                                                                                   </w:t>
                      </w:r>
                    </w:p>
                  </w:txbxContent>
                </v:textbox>
                <w10:wrap type="square"/>
              </v:rect>
            </w:pict>
          </mc:Fallback>
        </mc:AlternateContent>
      </w:r>
    </w:p>
    <w:p>
      <w:pPr>
        <w:pStyle w:val="Heading"/>
        <w:rPr/>
      </w:pPr>
      <w:r>
        <w:rPr/>
      </w:r>
    </w:p>
    <w:p>
      <w:pPr>
        <w:pStyle w:val="Body"/>
        <w:rPr>
          <w:rFonts w:eastAsia="Arial"/>
          <w:b/>
          <w:sz w:val="32"/>
        </w:rPr>
      </w:pPr>
      <w:r>
        <w:rPr>
          <w:rFonts w:eastAsia="Arial"/>
          <w:b/>
          <w:sz w:val="32"/>
        </w:rPr>
        <w:t xml:space="preserve">                    </w:t>
      </w:r>
      <w:r>
        <mc:AlternateContent>
          <mc:Choice Requires="wps">
            <w:drawing>
              <wp:anchor behindDoc="0" distT="0" distB="0" distL="118745" distR="118745" simplePos="0" locked="0" layoutInCell="0" allowOverlap="1" relativeHeight="3">
                <wp:simplePos x="0" y="0"/>
                <wp:positionH relativeFrom="page">
                  <wp:posOffset>620395</wp:posOffset>
                </wp:positionH>
                <wp:positionV relativeFrom="paragraph">
                  <wp:posOffset>196215</wp:posOffset>
                </wp:positionV>
                <wp:extent cx="3877310" cy="271145"/>
                <wp:effectExtent l="0" t="0" r="0" b="0"/>
                <wp:wrapSquare wrapText="bothSides"/>
                <wp:docPr id="2" name="Frame2"/>
                <a:graphic xmlns:a="http://schemas.openxmlformats.org/drawingml/2006/main">
                  <a:graphicData uri="http://schemas.microsoft.com/office/word/2010/wordprocessingShape">
                    <wps:wsp>
                      <wps:cNvSpPr txBox="1"/>
                      <wps:spPr>
                        <a:xfrm>
                          <a:off x="0" y="0"/>
                          <a:ext cx="3877310" cy="271145"/>
                        </a:xfrm>
                        <a:prstGeom prst="rect"/>
                        <a:solidFill>
                          <a:srgbClr val="FFFFFF">
                            <a:alpha val="0"/>
                          </a:srgbClr>
                        </a:solidFill>
                      </wps:spPr>
                      <wps:txbx>
                        <w:txbxContent>
                          <w:p>
                            <w:pPr>
                              <w:pStyle w:val="Heading1"/>
                              <w:ind w:start="0" w:end="0"/>
                              <w:rPr/>
                            </w:pPr>
                            <w:r>
                              <w:rPr/>
                              <w:t>Profit and Loss Analysis</w:t>
                            </w:r>
                          </w:p>
                        </w:txbxContent>
                      </wps:txbx>
                      <wps:bodyPr anchor="t" lIns="0" tIns="0" rIns="0" bIns="0">
                        <a:noAutofit/>
                      </wps:bodyPr>
                    </wps:wsp>
                  </a:graphicData>
                </a:graphic>
              </wp:anchor>
            </w:drawing>
          </mc:Choice>
          <mc:Fallback>
            <w:pict>
              <v:rect fillcolor="#FFFFFF" style="position:absolute;rotation:-0;width:305.3pt;height:21.35pt;mso-wrap-distance-left:9.35pt;mso-wrap-distance-right:9.35pt;mso-wrap-distance-top:0pt;mso-wrap-distance-bottom:0pt;margin-top:15.45pt;mso-position-vertical-relative:text;margin-left:48.85pt;mso-position-horizontal-relative:page">
                <v:fill opacity="0f"/>
                <v:textbox inset="0in,0in,0in,0in">
                  <w:txbxContent>
                    <w:p>
                      <w:pPr>
                        <w:pStyle w:val="Heading1"/>
                        <w:ind w:start="0" w:end="0"/>
                        <w:rPr/>
                      </w:pPr>
                      <w:r>
                        <w:rPr/>
                        <w:t>Profit and Loss Analysis</w:t>
                      </w:r>
                    </w:p>
                  </w:txbxContent>
                </v:textbox>
                <w10:wrap type="square"/>
              </v:rect>
            </w:pict>
          </mc:Fallback>
        </mc:AlternateContent>
      </w:r>
    </w:p>
    <w:p>
      <w:pPr>
        <w:pStyle w:val="Heading2"/>
        <w:ind w:hanging="0" w:start="0"/>
        <w:rPr>
          <w:b w:val="false"/>
          <w:sz w:val="32"/>
        </w:rPr>
      </w:pPr>
      <w:r>
        <w:rPr>
          <w:b w:val="false"/>
          <w:sz w:val="32"/>
        </w:rPr>
        <w:drawing>
          <wp:anchor behindDoc="0" distT="0" distB="0" distL="114935" distR="114935" simplePos="0" locked="0" layoutInCell="0" allowOverlap="1" relativeHeight="6">
            <wp:simplePos x="0" y="0"/>
            <wp:positionH relativeFrom="column">
              <wp:posOffset>-3878580</wp:posOffset>
            </wp:positionH>
            <wp:positionV relativeFrom="paragraph">
              <wp:posOffset>422910</wp:posOffset>
            </wp:positionV>
            <wp:extent cx="5480685" cy="5006975"/>
            <wp:effectExtent l="0" t="0" r="0" b="0"/>
            <wp:wrapTopAndBottom/>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6" t="-7" r="-6" b="-7"/>
                    <a:stretch>
                      <a:fillRect/>
                    </a:stretch>
                  </pic:blipFill>
                  <pic:spPr bwMode="auto">
                    <a:xfrm>
                      <a:off x="0" y="0"/>
                      <a:ext cx="5480685" cy="5006975"/>
                    </a:xfrm>
                    <a:prstGeom prst="rect">
                      <a:avLst/>
                    </a:prstGeom>
                    <a:noFill/>
                  </pic:spPr>
                </pic:pic>
              </a:graphicData>
            </a:graphic>
          </wp:anchor>
        </w:drawing>
      </w:r>
    </w:p>
    <w:p>
      <w:pPr>
        <w:pStyle w:val="Heading2"/>
        <w:ind w:hanging="0" w:start="0"/>
        <w:rPr/>
      </w:pPr>
      <w:r>
        <w:rPr/>
      </w:r>
    </w:p>
    <w:p>
      <w:pPr>
        <w:pStyle w:val="Heading2"/>
        <w:ind w:hanging="0" w:start="0"/>
        <w:rPr/>
      </w:pPr>
      <w:r>
        <w:rPr/>
      </w:r>
    </w:p>
    <w:p>
      <w:pPr>
        <w:pStyle w:val="Heading2"/>
        <w:ind w:hanging="0" w:start="0"/>
        <w:rPr/>
      </w:pPr>
      <w:r>
        <w:rPr/>
        <w:t>Summary Comments</w:t>
      </w:r>
    </w:p>
    <w:p>
      <w:pPr>
        <w:pStyle w:val="Body"/>
        <w:ind w:start="0" w:end="0"/>
        <w:jc w:val="both"/>
        <w:rPr>
          <w:color w:val="000000"/>
        </w:rPr>
      </w:pPr>
      <w:r>
        <w:rPr>
          <w:color w:val="000000"/>
        </w:rPr>
      </w:r>
    </w:p>
    <w:p>
      <w:pPr>
        <w:pStyle w:val="Body"/>
        <w:ind w:start="0" w:end="0"/>
        <w:jc w:val="both"/>
        <w:rPr>
          <w:color w:val="000000"/>
        </w:rPr>
      </w:pPr>
      <w:r>
        <w:rPr>
          <w:color w:val="000000"/>
        </w:rPr>
        <w:t>Over the week the UK Gas, Continental Gas and the CSS Books reported total net trading p/l of $3,057k.  The total net position held by these books is now long 19.4 bcf, compared to a long 113.9 bcf position of the previous week.  Of this total P/L, the UK Gas book reported p/l of $2,600k and the book’s delta position decreased from 35 bcf long to 18.3 bcf long.  The P/L is attributable to the book’s short position at the front end of the curve (out to April 2003).  Prices dipped across the front end of the curve as warm weather settled over the UK.  Despite the return of the Rough storage capacity, short term prices did not resist the bearish trend and finished much lower than last week.  The back end of the price curve remained firm on the back of strong oil prices</w:t>
      </w:r>
    </w:p>
    <w:p>
      <w:pPr>
        <w:pStyle w:val="Body"/>
        <w:jc w:val="both"/>
        <w:rPr>
          <w:color w:val="000000"/>
        </w:rPr>
      </w:pPr>
      <w:r>
        <w:rPr>
          <w:color w:val="000000"/>
        </w:rPr>
      </w:r>
    </w:p>
    <w:p>
      <w:pPr>
        <w:pStyle w:val="Normal"/>
        <w:rPr>
          <w:color w:val="000000"/>
          <w:sz w:val="20"/>
        </w:rPr>
      </w:pPr>
      <w:r>
        <w:rPr>
          <w:color w:val="000000"/>
          <w:sz w:val="20"/>
        </w:rPr>
        <w:t>The Continental Gas book reported P/L of $200k and the book’s delta position changed from 0.5 bcf long to 1 bcf long.  Downward curve movements this week were directly attributable to the weather - as temperatures across Europe hit record highs for the season.  As with the Uk Gas price curve, the back end of the remained firm on the back of strong oil prices, the European CSS formula being an effective floor on the NBP price curve.</w:t>
      </w:r>
    </w:p>
    <w:p>
      <w:pPr>
        <w:pStyle w:val="Body"/>
        <w:jc w:val="both"/>
        <w:rPr>
          <w:color w:val="FF0000"/>
          <w:sz w:val="20"/>
        </w:rPr>
      </w:pPr>
      <w:r>
        <w:rPr>
          <w:color w:val="FF0000"/>
          <w:sz w:val="20"/>
        </w:rPr>
      </w:r>
    </w:p>
    <w:p>
      <w:pPr>
        <w:pStyle w:val="Body"/>
        <w:ind w:start="0" w:end="-61"/>
        <w:jc w:val="both"/>
        <w:rPr>
          <w:color w:val="000000"/>
        </w:rPr>
      </w:pPr>
      <w:r>
        <w:rPr>
          <w:color w:val="000000"/>
        </w:rPr>
        <w:t xml:space="preserve">The UK Power book reported a P/L of $1,689k over the week and the book’s net delta position changed from short (52.2) TWh to short (50.7) TWh.  The majority of the p/l was gained on the Winter 2001 and Summer 2003 short positions as the curve moved downwards. </w:t>
      </w:r>
    </w:p>
    <w:p>
      <w:pPr>
        <w:pStyle w:val="Body"/>
        <w:ind w:start="0" w:end="0"/>
        <w:jc w:val="both"/>
        <w:rPr>
          <w:color w:val="FF0000"/>
        </w:rPr>
      </w:pPr>
      <w:r>
        <w:rPr>
          <w:color w:val="FF0000"/>
        </w:rPr>
      </w:r>
    </w:p>
    <w:p>
      <w:pPr>
        <w:pStyle w:val="Body"/>
        <w:ind w:start="0" w:end="0"/>
        <w:jc w:val="both"/>
        <w:rPr>
          <w:color w:val="000000"/>
          <w:lang w:val="en-AU"/>
        </w:rPr>
      </w:pPr>
      <w:r>
        <w:rPr>
          <w:color w:val="000000"/>
          <w:lang w:val="en-AU"/>
        </w:rPr>
        <w:t>The Continental Power Book reported P/L of $(807)k and the book’s net delta position increased from long 4.4 TWh to long 6.7 TWh. The P/L was made up of:</w:t>
      </w:r>
    </w:p>
    <w:p>
      <w:pPr>
        <w:pStyle w:val="Body"/>
        <w:jc w:val="both"/>
        <w:rPr>
          <w:rFonts w:eastAsia="Arial"/>
          <w:color w:val="000000"/>
          <w:lang w:val="en-AU"/>
        </w:rPr>
      </w:pPr>
      <w:r>
        <w:rPr>
          <w:rFonts w:eastAsia="Arial"/>
          <w:color w:val="000000"/>
          <w:lang w:val="en-AU"/>
        </w:rPr>
        <w:t xml:space="preserve"> </w:t>
      </w:r>
    </w:p>
    <w:p>
      <w:pPr>
        <w:pStyle w:val="Body"/>
        <w:numPr>
          <w:ilvl w:val="0"/>
          <w:numId w:val="6"/>
        </w:numPr>
        <w:jc w:val="both"/>
        <w:rPr>
          <w:color w:val="000000"/>
          <w:lang w:val="en-AU"/>
        </w:rPr>
      </w:pPr>
      <w:r>
        <w:rPr>
          <w:color w:val="000000"/>
          <w:lang w:val="en-AU"/>
        </w:rPr>
        <w:t>Spanish delta p/l of ($209k) was recorded as a result of an increase in the front end of the curve on a net short position;</w:t>
      </w:r>
    </w:p>
    <w:p>
      <w:pPr>
        <w:pStyle w:val="Body"/>
        <w:numPr>
          <w:ilvl w:val="0"/>
          <w:numId w:val="6"/>
        </w:numPr>
        <w:jc w:val="both"/>
        <w:rPr>
          <w:color w:val="000000"/>
          <w:lang w:val="en-AU"/>
        </w:rPr>
      </w:pPr>
      <w:r>
        <w:rPr>
          <w:color w:val="000000"/>
          <w:lang w:val="en-AU"/>
        </w:rPr>
        <w:t>German delta p/l of ($1.09m) was recorded as a result of the German curves decreasing on a net long position. In addition there was new origination pl of $337k;</w:t>
      </w:r>
    </w:p>
    <w:p>
      <w:pPr>
        <w:pStyle w:val="Body"/>
        <w:numPr>
          <w:ilvl w:val="0"/>
          <w:numId w:val="7"/>
        </w:numPr>
        <w:jc w:val="both"/>
        <w:rPr>
          <w:color w:val="000000"/>
          <w:lang w:val="en-AU"/>
        </w:rPr>
      </w:pPr>
      <w:r>
        <w:rPr>
          <w:color w:val="000000"/>
          <w:lang w:val="en-AU"/>
        </w:rPr>
        <w:t>FX hedge p/l was ($587k) due to the $ strengthening on a net short position;</w:t>
      </w:r>
    </w:p>
    <w:p>
      <w:pPr>
        <w:pStyle w:val="Body"/>
        <w:numPr>
          <w:ilvl w:val="0"/>
          <w:numId w:val="7"/>
        </w:numPr>
        <w:jc w:val="both"/>
        <w:rPr>
          <w:color w:val="000000"/>
          <w:lang w:val="en-AU"/>
        </w:rPr>
      </w:pPr>
      <w:r>
        <w:rPr>
          <w:color w:val="000000"/>
          <w:lang w:val="en-AU"/>
        </w:rPr>
        <w:t>$360k was made on the remark of the Czech North German curve to reflect transmission costs after the June auction</w:t>
      </w:r>
    </w:p>
    <w:p>
      <w:pPr>
        <w:pStyle w:val="Body"/>
        <w:ind w:start="0" w:end="0"/>
        <w:jc w:val="both"/>
        <w:rPr>
          <w:color w:val="000000"/>
          <w:lang w:val="en-AU"/>
        </w:rPr>
      </w:pPr>
      <w:r>
        <w:rPr>
          <w:color w:val="000000"/>
          <w:lang w:val="en-AU"/>
        </w:rPr>
      </w:r>
    </w:p>
    <w:p>
      <w:pPr>
        <w:pStyle w:val="Subject"/>
        <w:rPr>
          <w:color w:val="000000"/>
          <w:lang w:val="en-AU"/>
        </w:rPr>
      </w:pPr>
      <w:r>
        <w:rPr>
          <w:color w:val="000000"/>
          <w:lang w:val="en-AU"/>
        </w:rPr>
        <w:t xml:space="preserve">The Scandinavian Power Book reported a weekly P/L of $264k on a net long position of 9.8 TWh.  The power prices in the Nordic region were relatively flat last week with marginal increases in the shortest end of the curve (Up to Summer - 02).  From Summer - 02 and onwards the prices went slightly down. Even though the weather prognosis has been wet, the prices was relatively flat last week. </w:t>
      </w:r>
    </w:p>
    <w:p>
      <w:pPr>
        <w:pStyle w:val="Subject"/>
        <w:spacing w:lineRule="atLeast" w:line="240"/>
        <w:rPr>
          <w:color w:val="000000"/>
          <w:lang w:val="en-AU"/>
        </w:rPr>
      </w:pPr>
      <w:r>
        <w:rPr>
          <w:color w:val="000000"/>
          <w:lang w:val="en-AU"/>
        </w:rPr>
      </w:r>
    </w:p>
    <w:p>
      <w:pPr>
        <w:pStyle w:val="Subject"/>
        <w:spacing w:lineRule="atLeast" w:line="240"/>
        <w:rPr>
          <w:color w:val="000000"/>
        </w:rPr>
      </w:pPr>
      <w:r>
        <w:rPr>
          <w:color w:val="000000"/>
        </w:rPr>
        <w:t>The Australian Power Book reported weekly p/l of  $49k on a net long position of 1.127 TWh. Both the SA and QLD regions produced positive returns last week, whilst the NSW, VIC and SNY (Snowy Mountains – Hydro Electric Scheme) exposures weighed on the bottom line.  The positive SA return was the largest mover of the week.  The NSW and SNY losses were negligible.</w:t>
      </w:r>
    </w:p>
    <w:p>
      <w:pPr>
        <w:pStyle w:val="Subject"/>
        <w:spacing w:lineRule="atLeast" w:line="240"/>
        <w:rPr>
          <w:color w:val="000000"/>
        </w:rPr>
      </w:pPr>
      <w:r>
        <w:rPr>
          <w:color w:val="000000"/>
        </w:rPr>
      </w:r>
    </w:p>
    <w:p>
      <w:pPr>
        <w:pStyle w:val="Subject"/>
        <w:numPr>
          <w:ilvl w:val="0"/>
          <w:numId w:val="2"/>
        </w:numPr>
        <w:spacing w:lineRule="atLeast" w:line="240"/>
        <w:rPr>
          <w:color w:val="000000"/>
        </w:rPr>
      </w:pPr>
      <w:r>
        <w:rPr>
          <w:color w:val="000000"/>
        </w:rPr>
        <w:t>In the SA region, strength in the Q4 2001 and Q1 2002 sector of the forward curve had a negative effect on short positions early in the week.  However, weakness in the Q3 2002, Q1 2003 and FY 2003/2004 sectors later in the week added substantially to returns.  Swap liquidations were small but positive.  The SRA portfolio benefited from a widening of the VIC/SA spread over Q4 2001 and Q1 2001 mid week, however the liquidations were small and negative.  Theta leakage on SRAs was positive (EAF is short).  A delta effect on the options book was negative.</w:t>
      </w:r>
    </w:p>
    <w:p>
      <w:pPr>
        <w:pStyle w:val="Subject"/>
        <w:spacing w:lineRule="atLeast" w:line="240"/>
        <w:rPr>
          <w:color w:val="000000"/>
        </w:rPr>
      </w:pPr>
      <w:r>
        <w:rPr>
          <w:color w:val="000000"/>
        </w:rPr>
      </w:r>
    </w:p>
    <w:p>
      <w:pPr>
        <w:pStyle w:val="Subject"/>
        <w:numPr>
          <w:ilvl w:val="0"/>
          <w:numId w:val="2"/>
        </w:numPr>
        <w:spacing w:lineRule="atLeast" w:line="240"/>
        <w:rPr>
          <w:color w:val="000000"/>
        </w:rPr>
      </w:pPr>
      <w:r>
        <w:rPr>
          <w:color w:val="000000"/>
        </w:rPr>
        <w:t>In VIC, weakness in the Q1 2002 and Q1 2003 sectors throughout the week hurt established long swap positions.  Originations were positive but small, whilst settlement adjustments were negligible.  Curve shift effects on the SRA portfolio were flat, as were SRA liquidations.  The delta effect on the options book also detracted from the bottom line, but only marginally.</w:t>
      </w:r>
    </w:p>
    <w:p>
      <w:pPr>
        <w:pStyle w:val="Subject"/>
        <w:spacing w:lineRule="atLeast" w:line="240"/>
        <w:rPr>
          <w:color w:val="000000"/>
        </w:rPr>
      </w:pPr>
      <w:r>
        <w:rPr>
          <w:color w:val="000000"/>
        </w:rPr>
      </w:r>
    </w:p>
    <w:p>
      <w:pPr>
        <w:pStyle w:val="Subject"/>
        <w:numPr>
          <w:ilvl w:val="0"/>
          <w:numId w:val="2"/>
        </w:numPr>
        <w:spacing w:lineRule="atLeast" w:line="240"/>
        <w:rPr>
          <w:color w:val="000000"/>
        </w:rPr>
      </w:pPr>
      <w:r>
        <w:rPr>
          <w:color w:val="000000"/>
        </w:rPr>
        <w:t>In QLD, curve shift effects were negative as the Q3 and Q4 2001 sectors (including off peak) rallied during the week, against established short positions.  Swap originations and liquidations were small but positive.  Curve shift effects on SRA positions were positive as the QLD/NSW spread over 2001 widened late in the week.  SRA liquidations were negligible.  Delta effects on the QLD options book added modestly to the PL result for the week.</w:t>
      </w:r>
    </w:p>
    <w:p>
      <w:pPr>
        <w:pStyle w:val="Subject"/>
        <w:spacing w:lineRule="atLeast" w:line="240"/>
        <w:rPr>
          <w:color w:val="000000"/>
        </w:rPr>
      </w:pPr>
      <w:r>
        <w:rPr>
          <w:color w:val="000000"/>
        </w:rPr>
      </w:r>
    </w:p>
    <w:p>
      <w:pPr>
        <w:pStyle w:val="Subject"/>
        <w:spacing w:lineRule="atLeast" w:line="240"/>
        <w:rPr>
          <w:color w:val="000000"/>
        </w:rPr>
      </w:pPr>
      <w:r>
        <w:rPr>
          <w:color w:val="000000"/>
        </w:rPr>
        <w:t>The Enron Metals Book reported a P/L of  $(1,880k) on a net long Copper Equivalent position of 23,146 Tonnes.  Merchanting aluminium accounted for $(2.5)m of the loss, mainly due to 200,000 tonne long before short cash to 3 month, contango widened by $10.50.  Henry Bath warehousing accrual income recognised of $0.5m.</w:t>
      </w:r>
    </w:p>
    <w:p>
      <w:pPr>
        <w:pStyle w:val="Subject"/>
        <w:spacing w:lineRule="atLeast" w:line="240"/>
        <w:rPr>
          <w:color w:val="000000"/>
        </w:rPr>
      </w:pPr>
      <w:r>
        <w:rPr>
          <w:color w:val="000000"/>
        </w:rPr>
      </w:r>
    </w:p>
    <w:p>
      <w:pPr>
        <w:pStyle w:val="Subject"/>
        <w:rPr>
          <w:color w:val="000000"/>
        </w:rPr>
      </w:pPr>
      <w:r>
        <w:rPr>
          <w:color w:val="000000"/>
        </w:rPr>
        <w:t>The Credit Trading Book reported net p/l of  $298k.  Of this amount, the London P/L over the period was $359k driven by MTM on the CDS, Portfolio trades, Bonds and on the Equities.</w:t>
      </w:r>
    </w:p>
    <w:p>
      <w:pPr>
        <w:pStyle w:val="Subject"/>
        <w:rPr>
          <w:color w:val="000000"/>
        </w:rPr>
      </w:pPr>
      <w:r>
        <w:rPr>
          <w:color w:val="000000"/>
        </w:rPr>
      </w:r>
    </w:p>
    <w:p>
      <w:pPr>
        <w:pStyle w:val="Subject"/>
        <w:tabs>
          <w:tab w:val="left" w:pos="90" w:leader="none"/>
        </w:tabs>
        <w:ind w:start="270" w:end="0"/>
        <w:rPr>
          <w:color w:val="000000"/>
        </w:rPr>
      </w:pPr>
      <w:r>
        <w:rPr>
          <w:color w:val="000000"/>
        </w:rPr>
        <w:t xml:space="preserve">In the CDS portfolio the weekly change was ($427k) driven by the following sectors and spread moves across ratings categories:  </w:t>
      </w:r>
    </w:p>
    <w:p>
      <w:pPr>
        <w:pStyle w:val="Subject"/>
        <w:numPr>
          <w:ilvl w:val="0"/>
          <w:numId w:val="4"/>
        </w:numPr>
        <w:tabs>
          <w:tab w:val="left" w:pos="90" w:leader="none"/>
        </w:tabs>
        <w:ind w:hanging="0" w:start="270" w:end="0"/>
        <w:rPr>
          <w:color w:val="000000"/>
        </w:rPr>
      </w:pPr>
      <w:r>
        <w:rPr>
          <w:color w:val="000000"/>
        </w:rPr>
        <w:t xml:space="preserve">Communications made $521k driven by new Basket 7 Equip 3 structure which made $547k on inception. </w:t>
      </w:r>
    </w:p>
    <w:p>
      <w:pPr>
        <w:pStyle w:val="Subject"/>
        <w:numPr>
          <w:ilvl w:val="0"/>
          <w:numId w:val="4"/>
        </w:numPr>
        <w:tabs>
          <w:tab w:val="left" w:pos="90" w:leader="none"/>
        </w:tabs>
        <w:ind w:hanging="0" w:start="270" w:end="0"/>
        <w:rPr>
          <w:color w:val="000000"/>
        </w:rPr>
      </w:pPr>
      <w:r>
        <w:rPr>
          <w:color w:val="000000"/>
        </w:rPr>
        <w:t>Consumer, Non-Cyclical lost ($142k) driven by a widening of 6bps in the BBB category.</w:t>
      </w:r>
    </w:p>
    <w:p>
      <w:pPr>
        <w:pStyle w:val="Subject"/>
        <w:numPr>
          <w:ilvl w:val="0"/>
          <w:numId w:val="4"/>
        </w:numPr>
        <w:tabs>
          <w:tab w:val="left" w:pos="90" w:leader="none"/>
        </w:tabs>
        <w:ind w:hanging="0" w:start="270" w:end="0"/>
        <w:rPr>
          <w:color w:val="000000"/>
        </w:rPr>
      </w:pPr>
      <w:r>
        <w:rPr>
          <w:color w:val="000000"/>
        </w:rPr>
        <w:t>Consumer, Cylical lost ($143k) driven by a 15bps tightening in the BBB category.</w:t>
      </w:r>
    </w:p>
    <w:p>
      <w:pPr>
        <w:pStyle w:val="Subject"/>
        <w:numPr>
          <w:ilvl w:val="0"/>
          <w:numId w:val="4"/>
        </w:numPr>
        <w:tabs>
          <w:tab w:val="left" w:pos="90" w:leader="none"/>
        </w:tabs>
        <w:ind w:hanging="0" w:start="270" w:end="0"/>
        <w:rPr>
          <w:color w:val="000000"/>
        </w:rPr>
      </w:pPr>
      <w:r>
        <w:rPr>
          <w:color w:val="000000"/>
        </w:rPr>
        <w:t>Industrial lost ($376k) driven by widenings of 6bps across both the BBB and BBB+ categories.</w:t>
      </w:r>
    </w:p>
    <w:p>
      <w:pPr>
        <w:pStyle w:val="Subject"/>
        <w:numPr>
          <w:ilvl w:val="0"/>
          <w:numId w:val="4"/>
        </w:numPr>
        <w:tabs>
          <w:tab w:val="left" w:pos="90" w:leader="none"/>
        </w:tabs>
        <w:ind w:hanging="0" w:start="270" w:end="0"/>
        <w:rPr>
          <w:color w:val="000000"/>
        </w:rPr>
      </w:pPr>
      <w:r>
        <w:rPr>
          <w:color w:val="000000"/>
        </w:rPr>
        <w:t xml:space="preserve">Basic Materials lost ($140k) driven by a 7bp tightening in the A category. </w:t>
      </w:r>
    </w:p>
    <w:p>
      <w:pPr>
        <w:pStyle w:val="Subject"/>
        <w:tabs>
          <w:tab w:val="left" w:pos="90" w:leader="none"/>
        </w:tabs>
        <w:ind w:start="270" w:end="0"/>
        <w:rPr>
          <w:color w:val="000000"/>
        </w:rPr>
      </w:pPr>
      <w:r>
        <w:rPr>
          <w:color w:val="000000"/>
        </w:rPr>
      </w:r>
    </w:p>
    <w:p>
      <w:pPr>
        <w:pStyle w:val="Subject"/>
        <w:tabs>
          <w:tab w:val="left" w:pos="90" w:leader="none"/>
        </w:tabs>
        <w:ind w:start="270" w:end="0"/>
        <w:rPr>
          <w:color w:val="000000"/>
        </w:rPr>
      </w:pPr>
      <w:r>
        <w:rPr>
          <w:color w:val="000000"/>
        </w:rPr>
        <w:t>The ISIS Portfolio made $756k in MTM following a 3.2bps widening.</w:t>
      </w:r>
    </w:p>
    <w:p>
      <w:pPr>
        <w:pStyle w:val="Subject"/>
        <w:tabs>
          <w:tab w:val="left" w:pos="90" w:leader="none"/>
        </w:tabs>
        <w:ind w:start="270" w:end="0"/>
        <w:rPr>
          <w:color w:val="000000"/>
        </w:rPr>
      </w:pPr>
      <w:r>
        <w:rPr>
          <w:color w:val="000000"/>
        </w:rPr>
      </w:r>
    </w:p>
    <w:p>
      <w:pPr>
        <w:pStyle w:val="Subject"/>
        <w:tabs>
          <w:tab w:val="left" w:pos="90" w:leader="none"/>
        </w:tabs>
        <w:ind w:start="270" w:end="0"/>
        <w:rPr>
          <w:color w:val="000000"/>
        </w:rPr>
      </w:pPr>
      <w:r>
        <w:rPr>
          <w:color w:val="000000"/>
        </w:rPr>
        <w:t>Bonds &amp; Repos lost ($183k)</w:t>
      </w:r>
    </w:p>
    <w:p>
      <w:pPr>
        <w:pStyle w:val="Subject"/>
        <w:tabs>
          <w:tab w:val="left" w:pos="90" w:leader="none"/>
        </w:tabs>
        <w:ind w:start="270" w:end="0"/>
        <w:rPr>
          <w:color w:val="000000"/>
        </w:rPr>
      </w:pPr>
      <w:r>
        <w:rPr>
          <w:rFonts w:eastAsia="Arial"/>
          <w:color w:val="000000"/>
        </w:rPr>
        <w:t xml:space="preserve">     </w:t>
      </w:r>
      <w:r>
        <w:rPr>
          <w:color w:val="000000"/>
        </w:rPr>
        <w:t>Balance due to MTM across all positions.</w:t>
      </w:r>
    </w:p>
    <w:p>
      <w:pPr>
        <w:pStyle w:val="Subject"/>
        <w:tabs>
          <w:tab w:val="left" w:pos="90" w:leader="none"/>
        </w:tabs>
        <w:ind w:start="270" w:end="0"/>
        <w:rPr>
          <w:color w:val="000000"/>
        </w:rPr>
      </w:pPr>
      <w:r>
        <w:rPr>
          <w:color w:val="000000"/>
        </w:rPr>
      </w:r>
    </w:p>
    <w:p>
      <w:pPr>
        <w:pStyle w:val="Subject"/>
        <w:tabs>
          <w:tab w:val="left" w:pos="90" w:leader="none"/>
        </w:tabs>
        <w:ind w:start="270" w:end="0"/>
        <w:rPr>
          <w:color w:val="000000"/>
        </w:rPr>
      </w:pPr>
      <w:r>
        <w:rPr>
          <w:color w:val="000000"/>
        </w:rPr>
        <w:t xml:space="preserve">The two Californian Utilities Equities shorted as a hedge for CDS positions fell resulting in a profit of $224k. </w:t>
      </w:r>
    </w:p>
    <w:p>
      <w:pPr>
        <w:pStyle w:val="Subject"/>
        <w:numPr>
          <w:ilvl w:val="0"/>
          <w:numId w:val="5"/>
        </w:numPr>
        <w:tabs>
          <w:tab w:val="left" w:pos="90" w:leader="none"/>
        </w:tabs>
        <w:ind w:hanging="0" w:start="270" w:end="0"/>
        <w:rPr>
          <w:color w:val="000000"/>
        </w:rPr>
      </w:pPr>
      <w:r>
        <w:rPr>
          <w:color w:val="000000"/>
        </w:rPr>
        <w:t>Edison rose to 10.98 from 11.74.</w:t>
      </w:r>
    </w:p>
    <w:p>
      <w:pPr>
        <w:pStyle w:val="Subject"/>
        <w:numPr>
          <w:ilvl w:val="0"/>
          <w:numId w:val="5"/>
        </w:numPr>
        <w:tabs>
          <w:tab w:val="left" w:pos="90" w:leader="none"/>
        </w:tabs>
        <w:ind w:hanging="0" w:start="270" w:end="0"/>
        <w:rPr>
          <w:color w:val="000000"/>
        </w:rPr>
      </w:pPr>
      <w:r>
        <w:rPr>
          <w:color w:val="000000"/>
        </w:rPr>
        <w:t xml:space="preserve">PG&amp;E rose to 11.26 from  11.64. </w:t>
      </w:r>
    </w:p>
    <w:p>
      <w:pPr>
        <w:pStyle w:val="Subject"/>
        <w:tabs>
          <w:tab w:val="left" w:pos="90" w:leader="none"/>
        </w:tabs>
        <w:ind w:start="270" w:end="0"/>
        <w:rPr>
          <w:color w:val="000000"/>
        </w:rPr>
      </w:pPr>
      <w:r>
        <w:rPr>
          <w:color w:val="000000"/>
        </w:rPr>
      </w:r>
    </w:p>
    <w:p>
      <w:pPr>
        <w:pStyle w:val="Subject"/>
        <w:tabs>
          <w:tab w:val="left" w:pos="90" w:leader="none"/>
        </w:tabs>
        <w:ind w:start="270" w:end="0"/>
        <w:rPr>
          <w:color w:val="000000"/>
        </w:rPr>
      </w:pPr>
      <w:r>
        <w:rPr>
          <w:color w:val="000000"/>
        </w:rPr>
        <w:t>Brokerage costs were ($11k) as volumes have increased.</w:t>
      </w:r>
    </w:p>
    <w:p>
      <w:pPr>
        <w:pStyle w:val="Subject"/>
        <w:tabs>
          <w:tab w:val="left" w:pos="90" w:leader="none"/>
        </w:tabs>
        <w:ind w:start="270" w:end="0"/>
        <w:rPr>
          <w:color w:val="000000"/>
        </w:rPr>
      </w:pPr>
      <w:r>
        <w:rPr>
          <w:color w:val="000000"/>
        </w:rPr>
      </w:r>
    </w:p>
    <w:p>
      <w:pPr>
        <w:pStyle w:val="Subject"/>
        <w:tabs>
          <w:tab w:val="left" w:pos="90" w:leader="none"/>
        </w:tabs>
        <w:ind w:start="270" w:end="0"/>
        <w:rPr>
          <w:color w:val="000000"/>
        </w:rPr>
      </w:pPr>
      <w:r>
        <w:rPr>
          <w:color w:val="000000"/>
        </w:rPr>
        <w:t>Houston P&amp;L over the period was ($371k).</w:t>
      </w:r>
    </w:p>
    <w:p>
      <w:pPr>
        <w:pStyle w:val="Subject"/>
        <w:numPr>
          <w:ilvl w:val="0"/>
          <w:numId w:val="3"/>
        </w:numPr>
        <w:tabs>
          <w:tab w:val="left" w:pos="90" w:leader="none"/>
        </w:tabs>
        <w:ind w:hanging="0" w:start="270" w:end="0"/>
        <w:rPr>
          <w:color w:val="000000"/>
        </w:rPr>
      </w:pPr>
      <w:r>
        <w:rPr>
          <w:color w:val="000000"/>
        </w:rPr>
        <w:t xml:space="preserve">CHIPPC 12.75 09 bonds short 10mm up 3% to 93% loss of (321k) </w:t>
      </w:r>
    </w:p>
    <w:p>
      <w:pPr>
        <w:pStyle w:val="Subject"/>
        <w:numPr>
          <w:ilvl w:val="0"/>
          <w:numId w:val="3"/>
        </w:numPr>
        <w:tabs>
          <w:tab w:val="left" w:pos="90" w:leader="none"/>
        </w:tabs>
        <w:ind w:hanging="0" w:start="270" w:end="0"/>
        <w:rPr>
          <w:color w:val="000000"/>
        </w:rPr>
      </w:pPr>
      <w:r>
        <w:rPr>
          <w:color w:val="000000"/>
        </w:rPr>
        <w:t xml:space="preserve">LOR 9.5 06 bonds short 6.235mm up 5% to 68% loss of (322k) </w:t>
      </w:r>
    </w:p>
    <w:p>
      <w:pPr>
        <w:pStyle w:val="Subject"/>
        <w:numPr>
          <w:ilvl w:val="0"/>
          <w:numId w:val="3"/>
        </w:numPr>
        <w:tabs>
          <w:tab w:val="left" w:pos="90" w:leader="none"/>
        </w:tabs>
        <w:ind w:hanging="0" w:start="270" w:end="0"/>
        <w:rPr>
          <w:color w:val="000000"/>
        </w:rPr>
      </w:pPr>
      <w:r>
        <w:rPr>
          <w:color w:val="000000"/>
        </w:rPr>
        <w:t xml:space="preserve">ANKER 14.25 07 bonds long 17.147mm up 2% to 57% gain of 384k </w:t>
      </w:r>
    </w:p>
    <w:p>
      <w:pPr>
        <w:pStyle w:val="Subject"/>
        <w:tabs>
          <w:tab w:val="left" w:pos="90" w:leader="none"/>
        </w:tabs>
        <w:ind w:start="270" w:end="0"/>
        <w:rPr>
          <w:color w:val="000000"/>
        </w:rPr>
      </w:pPr>
      <w:r>
        <w:rPr>
          <w:color w:val="000000"/>
        </w:rPr>
      </w:r>
    </w:p>
    <w:p>
      <w:pPr>
        <w:pStyle w:val="Subject"/>
        <w:tabs>
          <w:tab w:val="left" w:pos="90" w:leader="none"/>
        </w:tabs>
        <w:ind w:start="270" w:end="0"/>
        <w:rPr>
          <w:color w:val="FF0000"/>
        </w:rPr>
      </w:pPr>
      <w:r>
        <w:rPr>
          <w:color w:val="000000"/>
        </w:rPr>
        <w:t>Credit Trading Structured Finance Group P/L of $310k was realised P/L relating to five trades/tranches transacted in May net of agency fees.</w:t>
      </w:r>
    </w:p>
    <w:p>
      <w:pPr>
        <w:pStyle w:val="Subject"/>
        <w:tabs>
          <w:tab w:val="left" w:pos="90" w:leader="none"/>
        </w:tabs>
        <w:ind w:start="270" w:end="0"/>
        <w:rPr>
          <w:color w:val="000000"/>
        </w:rPr>
      </w:pPr>
      <w:r>
        <w:rPr>
          <w:color w:val="000000"/>
        </w:rPr>
      </w:r>
    </w:p>
    <w:p>
      <w:pPr>
        <w:pStyle w:val="Subject"/>
        <w:tabs>
          <w:tab w:val="left" w:pos="90" w:leader="none"/>
        </w:tabs>
        <w:rPr>
          <w:color w:val="000000"/>
        </w:rPr>
      </w:pPr>
      <w:r>
        <w:rPr>
          <w:color w:val="000000"/>
        </w:rPr>
      </w:r>
    </w:p>
    <w:p>
      <w:pPr>
        <w:pStyle w:val="Subject"/>
        <w:tabs>
          <w:tab w:val="left" w:pos="90" w:leader="none"/>
        </w:tabs>
        <w:rPr>
          <w:color w:val="000000"/>
        </w:rPr>
      </w:pPr>
      <w:r>
        <w:rPr>
          <w:color w:val="000000"/>
        </w:rPr>
      </w:r>
    </w:p>
    <w:p>
      <w:pPr>
        <w:pStyle w:val="Subject"/>
        <w:tabs>
          <w:tab w:val="left" w:pos="90" w:leader="none"/>
        </w:tabs>
        <w:rPr>
          <w:color w:val="000000"/>
        </w:rPr>
      </w:pPr>
      <w:r>
        <w:rPr>
          <w:color w:val="000000"/>
        </w:rPr>
      </w:r>
    </w:p>
    <w:p>
      <w:pPr>
        <w:pStyle w:val="Subject"/>
        <w:tabs>
          <w:tab w:val="left" w:pos="90" w:leader="none"/>
        </w:tabs>
        <w:rPr>
          <w:color w:val="000000"/>
        </w:rPr>
      </w:pPr>
      <w:r>
        <w:rPr>
          <w:color w:val="000000"/>
        </w:rPr>
        <w:t xml:space="preserve">The Structured Commodity Derivatives Books reported weekly p/l of $2,371k. </w:t>
      </w:r>
      <w:r>
        <w:rPr>
          <w:color w:val="000000"/>
          <w:lang w:val="en-AU"/>
        </w:rPr>
        <w:t xml:space="preserve"> The majority of this P/L was due to the revised May forecast for the accrual book Teeside Liquids.</w:t>
      </w:r>
    </w:p>
    <w:p>
      <w:pPr>
        <w:pStyle w:val="Subject"/>
        <w:rPr>
          <w:color w:val="FF0000"/>
        </w:rPr>
      </w:pPr>
      <w:r>
        <w:rPr>
          <w:color w:val="FF0000"/>
        </w:rPr>
      </w:r>
    </w:p>
    <w:p>
      <w:pPr>
        <w:pStyle w:val="Subject"/>
        <w:rPr>
          <w:color w:val="000000"/>
        </w:rPr>
      </w:pPr>
      <w:r>
        <w:rPr>
          <w:color w:val="000000"/>
        </w:rPr>
        <w:t>The Retail books reported zero p/l for the week.</w:t>
      </w:r>
    </w:p>
    <w:p>
      <w:pPr>
        <w:pStyle w:val="Subject"/>
        <w:rPr>
          <w:rFonts w:eastAsia="Arial"/>
          <w:color w:val="FF0000"/>
        </w:rPr>
      </w:pPr>
      <w:r>
        <w:rPr>
          <w:rFonts w:eastAsia="Arial"/>
          <w:color w:val="FF0000"/>
        </w:rPr>
        <w:t xml:space="preserve">  </w:t>
      </w:r>
    </w:p>
    <w:p>
      <w:pPr>
        <w:pStyle w:val="Subject"/>
        <w:rPr>
          <w:color w:val="000000"/>
        </w:rPr>
      </w:pPr>
      <w:r>
        <w:rPr>
          <w:color w:val="000000"/>
        </w:rPr>
        <w:t>The Interest Rates Books reported P/L of $941k, due to Theta income on positive cashflows for the reporting week.</w:t>
      </w:r>
    </w:p>
    <w:p>
      <w:pPr>
        <w:pStyle w:val="Subject"/>
        <w:rPr>
          <w:color w:val="FF0000"/>
        </w:rPr>
      </w:pPr>
      <w:r>
        <w:rPr>
          <w:color w:val="FF0000"/>
        </w:rPr>
      </w:r>
    </w:p>
    <w:p>
      <w:pPr>
        <w:pStyle w:val="Subject"/>
        <w:rPr>
          <w:color w:val="000000"/>
        </w:rPr>
      </w:pPr>
      <w:r>
        <w:rPr>
          <w:color w:val="000000"/>
        </w:rPr>
        <w:t xml:space="preserve">The Cost of Capital Book reported P/L $(765)k, mainly due to the National Power contra interest adjustment. </w:t>
      </w:r>
    </w:p>
    <w:p>
      <w:pPr>
        <w:pStyle w:val="Subject"/>
        <w:rPr>
          <w:color w:val="FF0000"/>
        </w:rPr>
      </w:pPr>
      <w:r>
        <w:rPr>
          <w:color w:val="FF0000"/>
        </w:rPr>
      </w:r>
    </w:p>
    <w:p>
      <w:pPr>
        <w:pStyle w:val="Subject"/>
        <w:rPr>
          <w:color w:val="000000"/>
        </w:rPr>
      </w:pPr>
      <w:r>
        <w:rPr>
          <w:color w:val="000000"/>
        </w:rPr>
        <w:t>EX EI Assets reported zero p/l over the week.</w:t>
      </w:r>
    </w:p>
    <w:p>
      <w:pPr>
        <w:pStyle w:val="Subject"/>
        <w:rPr>
          <w:color w:val="FF0000"/>
        </w:rPr>
      </w:pPr>
      <w:r>
        <w:rPr>
          <w:color w:val="FF0000"/>
        </w:rPr>
      </w:r>
    </w:p>
    <w:p>
      <w:pPr>
        <w:pStyle w:val="Subject"/>
        <w:rPr>
          <w:color w:val="000000"/>
          <w:sz w:val="28"/>
        </w:rPr>
      </w:pPr>
      <w:r>
        <w:rPr>
          <w:color w:val="000000"/>
        </w:rPr>
        <w:t xml:space="preserve">Other P/L of $(390)k due to a 0.5 pence fall in the quoted share price of Paladin Resources PLC. </w:t>
      </w:r>
    </w:p>
    <w:p>
      <w:pPr>
        <w:pStyle w:val="Normal"/>
        <w:rPr>
          <w:b/>
          <w:color w:val="000000"/>
          <w:sz w:val="28"/>
        </w:rPr>
      </w:pPr>
      <w:r>
        <w:rPr>
          <w:b/>
          <w:color w:val="000000"/>
          <w:sz w:val="28"/>
        </w:rPr>
      </w:r>
    </w:p>
    <w:p>
      <w:pPr>
        <w:pStyle w:val="Normal"/>
        <w:rPr>
          <w:b/>
          <w:color w:val="FF0000"/>
          <w:sz w:val="28"/>
        </w:rPr>
      </w:pPr>
      <w:r>
        <w:rPr>
          <w:b/>
          <w:color w:val="FF0000"/>
          <w:sz w:val="28"/>
        </w:rPr>
      </w:r>
    </w:p>
    <w:p>
      <w:pPr>
        <w:pStyle w:val="Normal"/>
        <w:rPr>
          <w:b/>
          <w:color w:val="FF0000"/>
          <w:sz w:val="28"/>
        </w:rPr>
      </w:pPr>
      <w:r>
        <w:rPr>
          <w:b/>
          <w:color w:val="FF0000"/>
          <w:sz w:val="28"/>
        </w:rPr>
      </w:r>
    </w:p>
    <w:p>
      <w:pPr>
        <w:pStyle w:val="Normal"/>
        <w:rPr>
          <w:b/>
          <w:sz w:val="28"/>
        </w:rPr>
      </w:pPr>
      <w:r>
        <w:rPr>
          <w:b/>
          <w:sz w:val="28"/>
        </w:rPr>
      </w:r>
      <w:r>
        <mc:AlternateContent>
          <mc:Choice Requires="wps">
            <w:drawing>
              <wp:anchor behindDoc="0" distT="0" distB="0" distL="118745" distR="118745" simplePos="0" locked="0" layoutInCell="0" allowOverlap="1" relativeHeight="4">
                <wp:simplePos x="0" y="0"/>
                <wp:positionH relativeFrom="page">
                  <wp:posOffset>364490</wp:posOffset>
                </wp:positionH>
                <wp:positionV relativeFrom="paragraph">
                  <wp:posOffset>24765</wp:posOffset>
                </wp:positionV>
                <wp:extent cx="3877310" cy="264160"/>
                <wp:effectExtent l="0" t="0" r="0" b="0"/>
                <wp:wrapSquare wrapText="bothSides"/>
                <wp:docPr id="4" name="Frame3"/>
                <a:graphic xmlns:a="http://schemas.openxmlformats.org/drawingml/2006/main">
                  <a:graphicData uri="http://schemas.microsoft.com/office/word/2010/wordprocessingShape">
                    <wps:wsp>
                      <wps:cNvSpPr txBox="1"/>
                      <wps:spPr>
                        <a:xfrm>
                          <a:off x="0" y="0"/>
                          <a:ext cx="3877310" cy="264160"/>
                        </a:xfrm>
                        <a:prstGeom prst="rect"/>
                        <a:solidFill>
                          <a:srgbClr val="FFFFFF">
                            <a:alpha val="0"/>
                          </a:srgbClr>
                        </a:solidFill>
                      </wps:spPr>
                      <wps:txbx>
                        <w:txbxContent>
                          <w:p>
                            <w:pPr>
                              <w:pStyle w:val="Heading1"/>
                              <w:ind w:start="0" w:end="0"/>
                              <w:rPr/>
                            </w:pPr>
                            <w:r>
                              <w:rPr/>
                              <w:t>Risk Analysis</w:t>
                            </w:r>
                          </w:p>
                        </w:txbxContent>
                      </wps:txbx>
                      <wps:bodyPr anchor="t" lIns="0" tIns="0" rIns="0" bIns="0">
                        <a:noAutofit/>
                      </wps:bodyPr>
                    </wps:wsp>
                  </a:graphicData>
                </a:graphic>
              </wp:anchor>
            </w:drawing>
          </mc:Choice>
          <mc:Fallback>
            <w:pict>
              <v:rect fillcolor="#FFFFFF" style="position:absolute;rotation:-0;width:305.3pt;height:20.8pt;mso-wrap-distance-left:9.35pt;mso-wrap-distance-right:9.35pt;mso-wrap-distance-top:0pt;mso-wrap-distance-bottom:0pt;margin-top:1.95pt;mso-position-vertical-relative:text;margin-left:28.7pt;mso-position-horizontal-relative:page">
                <v:fill opacity="0f"/>
                <v:textbox inset="0in,0in,0in,0in">
                  <w:txbxContent>
                    <w:p>
                      <w:pPr>
                        <w:pStyle w:val="Heading1"/>
                        <w:ind w:start="0" w:end="0"/>
                        <w:rPr/>
                      </w:pPr>
                      <w:r>
                        <w:rPr/>
                        <w:t>Risk Analysis</w:t>
                      </w:r>
                    </w:p>
                  </w:txbxContent>
                </v:textbox>
                <w10:wrap type="square"/>
              </v:rect>
            </w:pict>
          </mc:Fallback>
        </mc:AlternateContent>
      </w:r>
    </w:p>
    <w:p>
      <w:pPr>
        <w:pStyle w:val="Normal"/>
        <w:jc w:val="center"/>
        <w:rPr>
          <w:b/>
          <w:sz w:val="28"/>
        </w:rPr>
      </w:pPr>
      <w:r>
        <w:rPr>
          <w:b/>
          <w:sz w:val="28"/>
        </w:rPr>
      </w:r>
    </w:p>
    <w:p>
      <w:pPr>
        <w:pStyle w:val="Normal"/>
        <w:jc w:val="center"/>
        <w:rPr/>
      </w:pPr>
      <w:r>
        <w:rPr/>
        <w:drawing>
          <wp:anchor behindDoc="0" distT="0" distB="0" distL="114935" distR="114935" simplePos="0" locked="0" layoutInCell="0" allowOverlap="1" relativeHeight="5">
            <wp:simplePos x="0" y="0"/>
            <wp:positionH relativeFrom="column">
              <wp:posOffset>165735</wp:posOffset>
            </wp:positionH>
            <wp:positionV relativeFrom="paragraph">
              <wp:posOffset>162560</wp:posOffset>
            </wp:positionV>
            <wp:extent cx="5480685" cy="7346950"/>
            <wp:effectExtent l="0" t="0" r="0" b="0"/>
            <wp:wrapTopAndBottom/>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3"/>
                    <a:srcRect l="-5" t="-4" r="-5" b="-4"/>
                    <a:stretch>
                      <a:fillRect/>
                    </a:stretch>
                  </pic:blipFill>
                  <pic:spPr bwMode="auto">
                    <a:xfrm>
                      <a:off x="0" y="0"/>
                      <a:ext cx="5480685" cy="7346950"/>
                    </a:xfrm>
                    <a:prstGeom prst="rect">
                      <a:avLst/>
                    </a:prstGeom>
                    <a:noFill/>
                  </pic:spPr>
                </pic:pic>
              </a:graphicData>
            </a:graphic>
          </wp:anchor>
        </w:drawing>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sectPr>
      <w:headerReference w:type="default" r:id="rId4"/>
      <w:headerReference w:type="first" r:id="rId5"/>
      <w:footerReference w:type="default" r:id="rId6"/>
      <w:footerReference w:type="first" r:id="rId7"/>
      <w:type w:val="nextPage"/>
      <w:pgSz w:w="11906" w:h="16838"/>
      <w:pgMar w:left="720" w:right="720" w:gutter="0" w:header="720" w:top="851"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jc w:val="center"/>
      <w:rPr>
        <w:b/>
        <w:sz w:val="16"/>
      </w:rPr>
    </w:pPr>
    <w:r>
      <w:rPr>
        <w:b/>
        <w:sz w:val="16"/>
      </w:rPr>
      <w:t>Endless Possibilites</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sz w:val="20"/>
      </w:rPr>
      <w:tab/>
      <w:t xml:space="preserve">              </w:t>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 xml:space="preserve">      </w:t>
      <w:tab/>
      <w:t xml:space="preserve">Page </w:t>
    </w:r>
    <w:r>
      <w:rPr>
        <w:sz w:val="20"/>
      </w:rPr>
      <w:fldChar w:fldCharType="begin"/>
    </w:r>
    <w:r>
      <w:rPr>
        <w:sz w:val="20"/>
      </w:rPr>
      <w:instrText xml:space="preserve"> PAGE </w:instrText>
    </w:r>
    <w:r>
      <w:rPr>
        <w:sz w:val="20"/>
      </w:rPr>
      <w:fldChar w:fldCharType="separate"/>
    </w:r>
    <w:r>
      <w:rPr>
        <w:sz w:val="20"/>
      </w:rPr>
      <w:t>4</w:t>
    </w:r>
    <w:r>
      <w:rP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cs="Times New Roman"/>
      <w:b/>
      <w:sz w:val="28"/>
      <w:lang w:val="en-GB"/>
    </w:rPr>
  </w:style>
  <w:style w:type="paragraph" w:styleId="Heading3">
    <w:name w:val="heading 3"/>
    <w:basedOn w:val="Normal"/>
    <w:next w:val="NormalIndent"/>
    <w:qFormat/>
    <w:pPr>
      <w:numPr>
        <w:ilvl w:val="2"/>
        <w:numId w:val="1"/>
      </w:numPr>
      <w:outlineLvl w:val="2"/>
    </w:pPr>
    <w:rPr>
      <w:rFonts w:ascii="CG Times (WN)" w:hAnsi="CG Times (WN)" w:cs="CG Times (WN)"/>
      <w:color w:val="000000"/>
      <w:sz w:val="22"/>
    </w:rPr>
  </w:style>
  <w:style w:type="paragraph" w:styleId="Heading4">
    <w:name w:val="heading 4"/>
    <w:basedOn w:val="Normal"/>
    <w:next w:val="Normal"/>
    <w:qFormat/>
    <w:pPr>
      <w:keepNext w:val="true"/>
      <w:numPr>
        <w:ilvl w:val="3"/>
        <w:numId w:val="1"/>
      </w:numPr>
      <w:outlineLvl w:val="3"/>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OC1">
    <w:name w:val="toc 1"/>
    <w:basedOn w:val="Normal"/>
    <w:next w:val="Normal"/>
    <w:pPr>
      <w:tabs>
        <w:tab w:val="clear" w:pos="540"/>
      </w:tabs>
      <w:spacing w:before="120" w:after="120"/>
    </w:pPr>
    <w:rPr>
      <w:rFonts w:ascii="Times New Roman" w:hAnsi="Times New Roman" w:cs="Times New Roman"/>
      <w:b/>
      <w:caps/>
      <w:sz w:val="20"/>
    </w:rPr>
  </w:style>
  <w:style w:type="paragraph" w:styleId="TOC2">
    <w:name w:val="toc 2"/>
    <w:basedOn w:val="Normal"/>
    <w:next w:val="Normal"/>
    <w:pPr>
      <w:tabs>
        <w:tab w:val="clear" w:pos="540"/>
      </w:tabs>
      <w:ind w:hanging="0" w:start="240" w:end="0"/>
    </w:pPr>
    <w:rPr>
      <w:rFonts w:ascii="Times New Roman" w:hAnsi="Times New Roman" w:cs="Times New Roman"/>
      <w:smallCaps/>
      <w:sz w:val="20"/>
    </w:rPr>
  </w:style>
  <w:style w:type="paragraph" w:styleId="TOC3">
    <w:name w:val="toc 3"/>
    <w:basedOn w:val="Normal"/>
    <w:next w:val="Normal"/>
    <w:pPr>
      <w:tabs>
        <w:tab w:val="clear" w:pos="540"/>
      </w:tabs>
      <w:ind w:hanging="0" w:start="480" w:end="0"/>
    </w:pPr>
    <w:rPr>
      <w:rFonts w:ascii="Times New Roman" w:hAnsi="Times New Roman" w:cs="Times New Roman"/>
      <w:i/>
      <w:sz w:val="20"/>
    </w:rPr>
  </w:style>
  <w:style w:type="paragraph" w:styleId="TOC4">
    <w:name w:val="toc 4"/>
    <w:basedOn w:val="Normal"/>
    <w:next w:val="Normal"/>
    <w:pPr>
      <w:tabs>
        <w:tab w:val="clear" w:pos="540"/>
      </w:tabs>
      <w:ind w:hanging="0" w:start="720" w:end="0"/>
    </w:pPr>
    <w:rPr>
      <w:rFonts w:ascii="Times New Roman" w:hAnsi="Times New Roman" w:cs="Times New Roman"/>
      <w:sz w:val="18"/>
    </w:rPr>
  </w:style>
  <w:style w:type="paragraph" w:styleId="TOC5">
    <w:name w:val="toc 5"/>
    <w:basedOn w:val="Normal"/>
    <w:next w:val="Normal"/>
    <w:pPr>
      <w:tabs>
        <w:tab w:val="clear" w:pos="540"/>
      </w:tabs>
      <w:ind w:hanging="0" w:start="960" w:end="0"/>
    </w:pPr>
    <w:rPr>
      <w:rFonts w:ascii="Times New Roman" w:hAnsi="Times New Roman" w:cs="Times New Roman"/>
      <w:sz w:val="18"/>
    </w:rPr>
  </w:style>
  <w:style w:type="paragraph" w:styleId="TOC6">
    <w:name w:val="toc 6"/>
    <w:basedOn w:val="Normal"/>
    <w:next w:val="Normal"/>
    <w:pPr>
      <w:tabs>
        <w:tab w:val="clear" w:pos="540"/>
      </w:tabs>
      <w:ind w:hanging="0" w:start="1200" w:end="0"/>
    </w:pPr>
    <w:rPr>
      <w:rFonts w:ascii="Times New Roman" w:hAnsi="Times New Roman" w:cs="Times New Roman"/>
      <w:sz w:val="18"/>
    </w:rPr>
  </w:style>
  <w:style w:type="paragraph" w:styleId="TOC7">
    <w:name w:val="toc 7"/>
    <w:basedOn w:val="Normal"/>
    <w:next w:val="Normal"/>
    <w:pPr>
      <w:tabs>
        <w:tab w:val="clear" w:pos="540"/>
      </w:tabs>
      <w:ind w:hanging="0" w:start="1440" w:end="0"/>
    </w:pPr>
    <w:rPr>
      <w:rFonts w:ascii="Times New Roman" w:hAnsi="Times New Roman" w:cs="Times New Roman"/>
      <w:sz w:val="18"/>
    </w:rPr>
  </w:style>
  <w:style w:type="paragraph" w:styleId="TOC8">
    <w:name w:val="toc 8"/>
    <w:basedOn w:val="Normal"/>
    <w:next w:val="Normal"/>
    <w:pPr>
      <w:tabs>
        <w:tab w:val="clear" w:pos="540"/>
      </w:tabs>
      <w:ind w:hanging="0" w:start="1680" w:end="0"/>
    </w:pPr>
    <w:rPr>
      <w:rFonts w:ascii="Times New Roman" w:hAnsi="Times New Roman" w:cs="Times New Roman"/>
      <w:sz w:val="18"/>
    </w:rPr>
  </w:style>
  <w:style w:type="paragraph" w:styleId="TOC9">
    <w:name w:val="toc 9"/>
    <w:basedOn w:val="Normal"/>
    <w:next w:val="Normal"/>
    <w:pPr>
      <w:tabs>
        <w:tab w:val="clear" w:pos="540"/>
      </w:tabs>
      <w:ind w:hanging="0" w:start="1920" w:end="0"/>
    </w:pPr>
    <w:rPr>
      <w:rFonts w:ascii="Times New Roman" w:hAnsi="Times New Roman" w:cs="Times New Roman"/>
      <w:sz w:val="18"/>
    </w:rPr>
  </w:style>
  <w:style w:type="paragraph" w:styleId="BodyText2">
    <w:name w:val="Body Text 2"/>
    <w:basedOn w:val="Normal"/>
    <w:qFormat/>
    <w:pPr/>
    <w:rPr>
      <w:color w:val="000000"/>
      <w:sz w:val="20"/>
      <w:lang w:val="en-AU"/>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5233" w:leader="none"/>
        <w:tab w:val="right" w:pos="1046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2001-05-29T09:15:00Z</dcterms:created>
  <dc:creator>JNew</dc:creator>
  <dc:description/>
  <dc:language>en-CA</dc:language>
  <cp:lastModifiedBy>mkass</cp:lastModifiedBy>
  <cp:lastPrinted>2001-05-29T12:35:00Z</cp:lastPrinted>
  <dcterms:modified xsi:type="dcterms:W3CDTF">2001-05-29T09:15:00Z</dcterms:modified>
  <cp:revision>2</cp:revision>
  <dc:subject>Tractebel Meeting</dc:subject>
  <dc:title> </dc:title>
</cp:coreProperties>
</file>