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rPr>
          <w:b/>
          <w:sz w:val="32"/>
        </w:rPr>
      </w:pPr>
      <w:r>
        <w:rPr>
          <w:b/>
          <w:sz w:val="32"/>
        </w:rPr>
      </w:r>
    </w:p>
    <w:p>
      <w:pPr>
        <w:pStyle w:val="Body"/>
        <w:rPr>
          <w:b/>
          <w:sz w:val="32"/>
        </w:rPr>
      </w:pPr>
      <w:r>
        <w:rPr>
          <w:b/>
          <w:sz w:val="32"/>
        </w:rPr>
      </w:r>
    </w:p>
    <w:p>
      <w:pPr>
        <w:pStyle w:val="Body"/>
        <w:rPr>
          <w:rFonts w:eastAsia="Arial"/>
          <w:b/>
          <w:sz w:val="32"/>
        </w:rPr>
      </w:pPr>
      <w:r>
        <w:rPr>
          <w:rFonts w:eastAsia="Arial"/>
          <w:b/>
          <w:sz w:val="32"/>
        </w:rPr>
        <w:t xml:space="preserve">                    </w:t>
      </w:r>
      <w:r>
        <mc:AlternateContent>
          <mc:Choice Requires="wps">
            <w:drawing>
              <wp:anchor behindDoc="0" distT="0" distB="0" distL="118745" distR="118745" simplePos="0" locked="0" layoutInCell="0" allowOverlap="1" relativeHeight="2">
                <wp:simplePos x="0" y="0"/>
                <wp:positionH relativeFrom="page">
                  <wp:posOffset>620395</wp:posOffset>
                </wp:positionH>
                <wp:positionV relativeFrom="paragraph">
                  <wp:posOffset>196215</wp:posOffset>
                </wp:positionV>
                <wp:extent cx="3877310" cy="271145"/>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271145"/>
                        </a:xfrm>
                        <a:prstGeom prst="rect"/>
                        <a:solidFill>
                          <a:srgbClr val="FFFFFF">
                            <a:alpha val="0"/>
                          </a:srgbClr>
                        </a:solidFill>
                      </wps:spPr>
                      <wps:txbx>
                        <w:txbxContent>
                          <w:p>
                            <w:pPr>
                              <w:pStyle w:val="Heading1"/>
                              <w:ind w:start="0" w:end="0"/>
                              <w:rPr/>
                            </w:pPr>
                            <w:r>
                              <w:rPr/>
                              <w:t>Profit and Loss Analysis</w:t>
                            </w:r>
                          </w:p>
                        </w:txbxContent>
                      </wps:txbx>
                      <wps:bodyPr anchor="t" lIns="0" tIns="0" rIns="0" bIns="0">
                        <a:noAutofit/>
                      </wps:bodyPr>
                    </wps:wsp>
                  </a:graphicData>
                </a:graphic>
              </wp:anchor>
            </w:drawing>
          </mc:Choice>
          <mc:Fallback>
            <w:pict>
              <v:rect fillcolor="#FFFFFF" style="position:absolute;rotation:-0;width:305.3pt;height:21.35pt;mso-wrap-distance-left:9.35pt;mso-wrap-distance-right:9.35pt;mso-wrap-distance-top:0pt;mso-wrap-distance-bottom:0pt;margin-top:15.45pt;mso-position-vertical-relative:text;margin-left:48.85pt;mso-position-horizontal-relative:page">
                <v:fill opacity="0f"/>
                <v:textbox inset="0in,0in,0in,0in">
                  <w:txbxContent>
                    <w:p>
                      <w:pPr>
                        <w:pStyle w:val="Heading1"/>
                        <w:ind w:start="0" w:end="0"/>
                        <w:rPr/>
                      </w:pPr>
                      <w:r>
                        <w:rPr/>
                        <w:t>Profit and Loss Analysis</w:t>
                      </w:r>
                    </w:p>
                  </w:txbxContent>
                </v:textbox>
                <w10:wrap type="square"/>
              </v:rect>
            </w:pict>
          </mc:Fallback>
        </mc:AlternateContent>
      </w:r>
    </w:p>
    <w:p>
      <w:pPr>
        <w:pStyle w:val="Heading2"/>
        <w:ind w:hanging="0" w:start="0"/>
        <w:rPr>
          <w:b w:val="false"/>
          <w:sz w:val="32"/>
        </w:rPr>
      </w:pPr>
      <w:r>
        <w:rPr>
          <w:b w:val="false"/>
          <w:sz w:val="32"/>
        </w:rPr>
        <w:drawing>
          <wp:anchor behindDoc="0" distT="0" distB="0" distL="114935" distR="114935" simplePos="0" locked="0" layoutInCell="0" allowOverlap="1" relativeHeight="5">
            <wp:simplePos x="0" y="0"/>
            <wp:positionH relativeFrom="column">
              <wp:posOffset>-3884295</wp:posOffset>
            </wp:positionH>
            <wp:positionV relativeFrom="paragraph">
              <wp:posOffset>267335</wp:posOffset>
            </wp:positionV>
            <wp:extent cx="5669280" cy="48133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7" r="-6" b="-7"/>
                    <a:stretch>
                      <a:fillRect/>
                    </a:stretch>
                  </pic:blipFill>
                  <pic:spPr bwMode="auto">
                    <a:xfrm>
                      <a:off x="0" y="0"/>
                      <a:ext cx="5669280" cy="4813300"/>
                    </a:xfrm>
                    <a:prstGeom prst="rect">
                      <a:avLst/>
                    </a:prstGeom>
                    <a:noFill/>
                  </pic:spPr>
                </pic:pic>
              </a:graphicData>
            </a:graphic>
          </wp:anchor>
        </w:drawing>
      </w:r>
    </w:p>
    <w:p>
      <w:pPr>
        <w:pStyle w:val="Heading2"/>
        <w:ind w:hanging="0" w:start="0"/>
        <w:rPr/>
      </w:pPr>
      <w:r>
        <w:rPr/>
        <w:t xml:space="preserve">  </w:t>
      </w:r>
    </w:p>
    <w:p>
      <w:pPr>
        <w:pStyle w:val="Heading2"/>
        <w:ind w:hanging="0" w:start="0"/>
        <w:rPr/>
      </w:pPr>
      <w:r>
        <w:rPr/>
      </w:r>
    </w:p>
    <w:p>
      <w:pPr>
        <w:pStyle w:val="Heading2"/>
        <w:ind w:hanging="0" w:start="0"/>
        <w:rPr/>
      </w:pPr>
      <w:r>
        <w:rPr/>
        <w:t>Summary Comments</w:t>
      </w:r>
    </w:p>
    <w:p>
      <w:pPr>
        <w:pStyle w:val="Body"/>
        <w:ind w:start="0" w:end="0"/>
        <w:jc w:val="both"/>
        <w:rPr>
          <w:color w:val="000000"/>
        </w:rPr>
      </w:pPr>
      <w:r>
        <w:rPr>
          <w:color w:val="000000"/>
        </w:rPr>
      </w:r>
    </w:p>
    <w:p>
      <w:pPr>
        <w:pStyle w:val="Body"/>
        <w:ind w:start="0" w:end="0"/>
        <w:jc w:val="both"/>
        <w:rPr>
          <w:color w:val="000000"/>
        </w:rPr>
      </w:pPr>
      <w:r>
        <w:rPr>
          <w:color w:val="000000"/>
        </w:rPr>
        <w:t>Over the week the UK Gas, Continental Gas and the CSS Books reported total net trading loss of $(1,285) k.  The total net position held by these books is now long 113.9 bcf, compared to a short (3.4) bcf position of the previous week.  Of this total P/L, the UK Gas book reported a loss of $(1,109) k and short delta position increased from (3) bcf short to 114.7 bcf long.  The books volumetric position increased after rehedgeing with the VPS book.  The P/L loss is attributable to a change in the power volatility curve. Prices for both short term and longer term products were quite volatile this week but finished largely unchanged. The opening and the rumored restart of the Elgin and Shearwater gas fields pushed prices lower at the beginning of the week. However the end of the maintenance period at Rough sent short term prices up as from last weekend shippers are able to buy gas to put it into storage.  The curve remained firm on the back of strong oil prices.</w:t>
      </w:r>
    </w:p>
    <w:p>
      <w:pPr>
        <w:pStyle w:val="Body"/>
        <w:jc w:val="both"/>
        <w:rPr>
          <w:color w:val="000000"/>
        </w:rPr>
      </w:pPr>
      <w:r>
        <w:rPr>
          <w:color w:val="000000"/>
        </w:rPr>
      </w:r>
    </w:p>
    <w:p>
      <w:pPr>
        <w:pStyle w:val="Normal"/>
        <w:rPr>
          <w:color w:val="000000"/>
          <w:sz w:val="20"/>
        </w:rPr>
      </w:pPr>
      <w:r>
        <w:rPr>
          <w:color w:val="000000"/>
          <w:sz w:val="20"/>
        </w:rPr>
        <w:t xml:space="preserve">The Continental Gas book reported P/L of $551 k and the forward delta position changed from (0.4) bcf short to (0.8) bcf short.  The Gas curve moved up 0.24p/Th this week largely due to strong oil prices.  This contributed a delta of  $150 k.  The P/L however was largely attributable to the new Distrigas oil indexed swing deal and the Blugas deal which is the first Italian deal the book has entered into. </w:t>
      </w:r>
    </w:p>
    <w:p>
      <w:pPr>
        <w:pStyle w:val="Body"/>
        <w:jc w:val="both"/>
        <w:rPr>
          <w:color w:val="FF0000"/>
          <w:sz w:val="20"/>
        </w:rPr>
      </w:pPr>
      <w:r>
        <w:rPr>
          <w:color w:val="FF0000"/>
          <w:sz w:val="20"/>
        </w:rPr>
      </w:r>
    </w:p>
    <w:p>
      <w:pPr>
        <w:pStyle w:val="BodyText2"/>
        <w:rPr>
          <w:lang w:val="en-US"/>
        </w:rPr>
      </w:pPr>
      <w:r>
        <w:rPr>
          <w:lang w:val="en-US"/>
        </w:rPr>
        <w:t>The CSS book reported a loss of $(727) k which was mainly due to rebooking of a deal.</w:t>
      </w:r>
    </w:p>
    <w:p>
      <w:pPr>
        <w:pStyle w:val="Body"/>
        <w:ind w:start="0" w:end="0"/>
        <w:jc w:val="both"/>
        <w:rPr>
          <w:color w:val="FF0000"/>
          <w:lang w:val="en-US"/>
        </w:rPr>
      </w:pPr>
      <w:r>
        <w:rPr>
          <w:color w:val="FF0000"/>
          <w:lang w:val="en-US"/>
        </w:rPr>
      </w:r>
    </w:p>
    <w:p>
      <w:pPr>
        <w:pStyle w:val="Body"/>
        <w:ind w:start="0" w:end="0"/>
        <w:jc w:val="both"/>
        <w:rPr/>
      </w:pPr>
      <w:r>
        <w:rPr>
          <w:color w:val="000000"/>
        </w:rPr>
        <w:t>The UK Power book reported a P/L of $81,745 k over the week and the net open position changed from short (44.4) TWh to short (52.2) TWh. The short peak/long off peak spread narrowed as the forward curve was re-marked in line with the underlying market expectations. This resulted in delta gain of $81,500 k out to 2018. In addition $800 k was made on origination.</w:t>
      </w:r>
      <w:r>
        <w:rPr>
          <w:color w:val="FF0000"/>
        </w:rPr>
        <w:t xml:space="preserve"> </w:t>
      </w:r>
    </w:p>
    <w:p>
      <w:pPr>
        <w:pStyle w:val="Body"/>
        <w:ind w:start="0" w:end="0"/>
        <w:jc w:val="both"/>
        <w:rPr>
          <w:color w:val="FF0000"/>
        </w:rPr>
      </w:pPr>
      <w:r>
        <w:rPr>
          <w:color w:val="FF0000"/>
        </w:rPr>
      </w:r>
    </w:p>
    <w:p>
      <w:pPr>
        <w:pStyle w:val="Body"/>
        <w:ind w:start="0" w:end="0"/>
        <w:jc w:val="both"/>
        <w:rPr>
          <w:color w:val="000000"/>
          <w:lang w:val="en-AU"/>
        </w:rPr>
      </w:pPr>
      <w:r>
        <w:rPr>
          <w:color w:val="000000"/>
          <w:lang w:val="en-AU"/>
        </w:rPr>
        <w:t>The Continental Power Book reported a P/L of $72 k and the book’s net position increased from long 2.5 TWh to long 4.4 TWh. The P/L was made up of:</w:t>
      </w:r>
    </w:p>
    <w:p>
      <w:pPr>
        <w:pStyle w:val="Body"/>
        <w:jc w:val="both"/>
        <w:rPr>
          <w:color w:val="000000"/>
          <w:lang w:val="en-AU"/>
        </w:rPr>
      </w:pPr>
      <w:r>
        <w:rPr>
          <w:color w:val="000000"/>
          <w:lang w:val="en-AU"/>
        </w:rPr>
      </w:r>
    </w:p>
    <w:p>
      <w:pPr>
        <w:pStyle w:val="Body"/>
        <w:jc w:val="both"/>
        <w:rPr>
          <w:color w:val="000000"/>
          <w:lang w:val="en-AU"/>
        </w:rPr>
      </w:pPr>
      <w:r>
        <w:rPr>
          <w:rFonts w:eastAsia="Arial"/>
          <w:color w:val="000000"/>
          <w:lang w:val="en-AU"/>
        </w:rPr>
        <w:t xml:space="preserve"> </w:t>
      </w:r>
      <w:r>
        <w:rPr>
          <w:color w:val="000000"/>
          <w:lang w:val="en-AU"/>
        </w:rPr>
        <w:t>Pool Book PMA'S:</w:t>
      </w:r>
    </w:p>
    <w:p>
      <w:pPr>
        <w:pStyle w:val="Body"/>
        <w:numPr>
          <w:ilvl w:val="0"/>
          <w:numId w:val="6"/>
        </w:numPr>
        <w:jc w:val="both"/>
        <w:rPr>
          <w:color w:val="000000"/>
          <w:lang w:val="en-AU"/>
        </w:rPr>
      </w:pPr>
      <w:r>
        <w:rPr>
          <w:color w:val="000000"/>
          <w:lang w:val="en-AU"/>
        </w:rPr>
        <w:t>OMEL invoices incorrectly booked in Enpower $(1,100) k.</w:t>
      </w:r>
    </w:p>
    <w:p>
      <w:pPr>
        <w:pStyle w:val="Body"/>
        <w:numPr>
          <w:ilvl w:val="0"/>
          <w:numId w:val="6"/>
        </w:numPr>
        <w:jc w:val="both"/>
        <w:rPr>
          <w:color w:val="000000"/>
          <w:lang w:val="en-AU"/>
        </w:rPr>
      </w:pPr>
      <w:r>
        <w:rPr>
          <w:color w:val="000000"/>
          <w:lang w:val="en-AU"/>
        </w:rPr>
        <w:t>Energie Defland PMA on trades incorrectly booked in Enpower $(120) k.</w:t>
      </w:r>
    </w:p>
    <w:p>
      <w:pPr>
        <w:pStyle w:val="Body"/>
        <w:jc w:val="both"/>
        <w:rPr>
          <w:color w:val="000000"/>
          <w:lang w:val="en-AU"/>
        </w:rPr>
      </w:pPr>
      <w:r>
        <w:rPr>
          <w:color w:val="000000"/>
          <w:lang w:val="en-AU"/>
        </w:rPr>
        <w:t>German delta moves:</w:t>
      </w:r>
    </w:p>
    <w:p>
      <w:pPr>
        <w:pStyle w:val="Body"/>
        <w:numPr>
          <w:ilvl w:val="0"/>
          <w:numId w:val="5"/>
        </w:numPr>
        <w:jc w:val="both"/>
        <w:rPr>
          <w:color w:val="000000"/>
          <w:lang w:val="en-AU"/>
        </w:rPr>
      </w:pPr>
      <w:r>
        <w:rPr>
          <w:color w:val="000000"/>
          <w:lang w:val="en-AU"/>
        </w:rPr>
        <w:t>German curve increases amounting to $1,800k on a net long position.  The main reason for the curve increase was uncertainty about supply in the market. There is a total of 4,715MW offline as there are outages at Krummel, Enisland, Grafenrheinfeld and Philippsburg nuclear plants.</w:t>
      </w:r>
    </w:p>
    <w:p>
      <w:pPr>
        <w:pStyle w:val="Body"/>
        <w:jc w:val="both"/>
        <w:rPr>
          <w:color w:val="000000"/>
          <w:lang w:val="en-AU"/>
        </w:rPr>
      </w:pPr>
      <w:r>
        <w:rPr>
          <w:color w:val="000000"/>
          <w:lang w:val="en-AU"/>
        </w:rPr>
        <w:t>Spanish delta moves of $(450) k</w:t>
      </w:r>
    </w:p>
    <w:p>
      <w:pPr>
        <w:pStyle w:val="Body"/>
        <w:numPr>
          <w:ilvl w:val="0"/>
          <w:numId w:val="7"/>
        </w:numPr>
        <w:jc w:val="both"/>
        <w:rPr>
          <w:color w:val="000000"/>
          <w:lang w:val="en-AU"/>
        </w:rPr>
      </w:pPr>
      <w:r>
        <w:rPr>
          <w:color w:val="000000"/>
          <w:lang w:val="en-AU"/>
        </w:rPr>
        <w:t>The curve moved upwards due to players rejoining the market for no obvious reason. The Spanish book has a net short position.</w:t>
      </w:r>
    </w:p>
    <w:p>
      <w:pPr>
        <w:pStyle w:val="Body"/>
        <w:ind w:start="0" w:end="0"/>
        <w:jc w:val="both"/>
        <w:rPr>
          <w:color w:val="000000"/>
          <w:lang w:val="en-AU"/>
        </w:rPr>
      </w:pPr>
      <w:r>
        <w:rPr>
          <w:color w:val="000000"/>
          <w:lang w:val="en-AU"/>
        </w:rPr>
        <w:t>Other P/L of $ 58 k.</w:t>
      </w:r>
    </w:p>
    <w:p>
      <w:pPr>
        <w:pStyle w:val="Body"/>
        <w:ind w:start="0" w:end="0"/>
        <w:jc w:val="both"/>
        <w:rPr>
          <w:color w:val="000000"/>
          <w:lang w:val="en-AU"/>
        </w:rPr>
      </w:pPr>
      <w:r>
        <w:rPr>
          <w:color w:val="000000"/>
          <w:lang w:val="en-AU"/>
        </w:rPr>
      </w:r>
    </w:p>
    <w:p>
      <w:pPr>
        <w:pStyle w:val="Subject"/>
        <w:rPr>
          <w:color w:val="000000"/>
          <w:lang w:val="en-AU"/>
        </w:rPr>
      </w:pPr>
      <w:r>
        <w:rPr>
          <w:color w:val="000000"/>
          <w:lang w:val="en-AU"/>
        </w:rPr>
        <w:t xml:space="preserve">The Scandinavian Book reported a weekly P/L of  $6,966 k on a net long position of 10.2 TWh. The power prices in the Nordic region increased quite heavily up to calendar year - 2009 and in combination with the books long position, a total Delta &amp; Gamma P/L of $8,088 k was generated.  The price increase was greatest in the shortest end of the curve with increases of more than 10 NOK per MWh, but also on the longer end of the curve the price increase was large (approximately 4 NOK).   From calendar year -2009 and onwards there was a small decrease in the prices, but this had only a marginal effect on the P/L.  The main reason for the large increases in the prices is that the reservoir levels have decreased while they normally are increasing during this time of the year due to the melting snow.  The consumption is also constantly increasing and this also helps push the prices upwards. </w:t>
      </w:r>
    </w:p>
    <w:p>
      <w:pPr>
        <w:pStyle w:val="Subject"/>
        <w:rPr>
          <w:color w:val="000000"/>
          <w:lang w:val="en-AU"/>
        </w:rPr>
      </w:pPr>
      <w:r>
        <w:rPr>
          <w:color w:val="000000"/>
          <w:lang w:val="en-AU"/>
        </w:rPr>
      </w:r>
    </w:p>
    <w:p>
      <w:pPr>
        <w:pStyle w:val="Subject"/>
        <w:spacing w:lineRule="atLeast" w:line="240"/>
        <w:rPr>
          <w:color w:val="000000"/>
        </w:rPr>
      </w:pPr>
      <w:r>
        <w:rPr>
          <w:color w:val="000000"/>
        </w:rPr>
        <w:t xml:space="preserve">The Enron Australia Book reported a weekly loss of  $(1,058) k on a net long position of 1.140 TWh. The South Australia region returned the largest profit last week, whilst the Victoria, New South Wales and Queensland regions weighed on the bottom line.  The Snowy Mountain region was essentially flat over the week. </w:t>
      </w:r>
    </w:p>
    <w:p>
      <w:pPr>
        <w:pStyle w:val="Subject"/>
        <w:spacing w:lineRule="atLeast" w:line="240"/>
        <w:rPr>
          <w:color w:val="000000"/>
        </w:rPr>
      </w:pPr>
      <w:r>
        <w:rPr>
          <w:color w:val="000000"/>
        </w:rPr>
      </w:r>
    </w:p>
    <w:p>
      <w:pPr>
        <w:pStyle w:val="Subject"/>
        <w:spacing w:lineRule="atLeast" w:line="240"/>
        <w:ind w:start="360" w:end="0"/>
        <w:rPr>
          <w:color w:val="000000"/>
        </w:rPr>
      </w:pPr>
      <w:r>
        <w:rPr>
          <w:color w:val="000000"/>
        </w:rPr>
        <w:t>In the South Australia region, general weakness in the forward curve had a positive effect on returns.  Early in the week, rallies in Quarter 3/Quarter 4 2001 and Quarter 1 2002 sectors hurt EAF’s short positions, but the subsequent retracement of the Quarter 3 2001 rally (and more) eliminated those losses and contributed to the bottom line.  Weakness throughout the week in the calendar 2003 and 2004 sectors added substantially to profits (although a firmer calendar 2003 off peak price did hurt the short position).  Origination’s were small but positive whilst settlement adjustments were small but negative.  The curve shift effects on the Settlememts Residual Aution  (SRA) portfolio where also positive, whilst SRA liquidations were small and negative.  Theta leakage on SRAs was positive (EAF is short).  A delta effect on the options book was also negative.</w:t>
      </w:r>
    </w:p>
    <w:p>
      <w:pPr>
        <w:pStyle w:val="Subject"/>
        <w:spacing w:lineRule="atLeast" w:line="240"/>
        <w:ind w:start="360" w:end="0"/>
        <w:rPr>
          <w:color w:val="000000"/>
        </w:rPr>
      </w:pPr>
      <w:r>
        <w:rPr>
          <w:color w:val="000000"/>
        </w:rPr>
      </w:r>
    </w:p>
    <w:p>
      <w:pPr>
        <w:pStyle w:val="Subject"/>
        <w:spacing w:lineRule="atLeast" w:line="240"/>
        <w:ind w:start="360" w:end="0"/>
        <w:rPr>
          <w:color w:val="000000"/>
        </w:rPr>
      </w:pPr>
      <w:r>
        <w:rPr>
          <w:color w:val="000000"/>
        </w:rPr>
        <w:t xml:space="preserve">In Victoria, weakness in the peak calendar 2002, 2003 and 2004 sectors throughout the week substantially hurt established long swap positions.  Origination’s were also negative whilst settlement adjustments were small but positive.  Curve shift effects on the SRA portfolio were flat, as were SRA liquidations.  The delta effect on the options book also detracted from the bottom line. </w:t>
      </w:r>
    </w:p>
    <w:p>
      <w:pPr>
        <w:pStyle w:val="Subject"/>
        <w:spacing w:lineRule="atLeast" w:line="240"/>
        <w:ind w:start="360" w:end="0"/>
        <w:rPr>
          <w:color w:val="000000"/>
        </w:rPr>
      </w:pPr>
      <w:r>
        <w:rPr>
          <w:color w:val="000000"/>
        </w:rPr>
      </w:r>
    </w:p>
    <w:p>
      <w:pPr>
        <w:pStyle w:val="Subject"/>
        <w:spacing w:lineRule="atLeast" w:line="240"/>
        <w:ind w:start="360" w:end="0"/>
        <w:rPr>
          <w:color w:val="000000"/>
        </w:rPr>
      </w:pPr>
      <w:r>
        <w:rPr>
          <w:color w:val="000000"/>
        </w:rPr>
        <w:t>In Queensland, curve shift effects were approximately flat whilst settlement adjustments were small and negative.  Curve shift effects on the SRA book were negative, but modest.  SRA liquidations were negligible.  The options book produced a small negative return over the week.</w:t>
      </w:r>
    </w:p>
    <w:p>
      <w:pPr>
        <w:pStyle w:val="Subject"/>
        <w:spacing w:lineRule="atLeast" w:line="240"/>
        <w:ind w:start="360" w:end="0"/>
        <w:rPr>
          <w:color w:val="000000"/>
        </w:rPr>
      </w:pPr>
      <w:r>
        <w:rPr>
          <w:color w:val="000000"/>
        </w:rPr>
      </w:r>
    </w:p>
    <w:p>
      <w:pPr>
        <w:pStyle w:val="Subject"/>
        <w:spacing w:lineRule="atLeast" w:line="240"/>
        <w:ind w:start="360" w:end="0"/>
        <w:rPr>
          <w:color w:val="000000"/>
        </w:rPr>
      </w:pPr>
      <w:r>
        <w:rPr>
          <w:color w:val="000000"/>
        </w:rPr>
        <w:t>In New South Wales, curve shift effects were negative as the balance of Quarter 2 2001 and Quarter 3 2001 weakened later in the week.  Swap origination’s were also negative, as were settlement adjustments.  Curve shift effects on the SRA book were flat whilst the liquidations were small and negative.  The delta effect on the options book was negative.</w:t>
      </w:r>
    </w:p>
    <w:p>
      <w:pPr>
        <w:pStyle w:val="Subject"/>
        <w:spacing w:lineRule="atLeast" w:line="240"/>
        <w:rPr>
          <w:color w:val="000000"/>
        </w:rPr>
      </w:pPr>
      <w:r>
        <w:rPr>
          <w:color w:val="000000"/>
        </w:rPr>
      </w:r>
    </w:p>
    <w:p>
      <w:pPr>
        <w:pStyle w:val="Subject"/>
        <w:spacing w:lineRule="atLeast" w:line="240"/>
        <w:rPr>
          <w:color w:val="000000"/>
        </w:rPr>
      </w:pPr>
      <w:r>
        <w:rPr>
          <w:color w:val="000000"/>
        </w:rPr>
        <w:t>The Enron Metals Book reported a P/L of  $6,701 k on a net long Copper Equivalent position of 15,687 Tonnes. Within the financial brokerage there was an aluminum profit of $3,266 k as a result of the backwardation widening  $12.5 long before short 260,000 mt July 2001 to April 2002. Copper showed a profit of $0.908mio as a result of contango narrowing  $10 on 90,000 tonnes long before short Csh to March 2002. Zinc reported a profit of $370 k. Other items $(153) k.   Enron Trade Services Inc. commissions and interest of $1,800 k was recognised.</w:t>
      </w:r>
    </w:p>
    <w:p>
      <w:pPr>
        <w:pStyle w:val="Subject"/>
        <w:spacing w:lineRule="atLeast" w:line="240"/>
        <w:rPr>
          <w:color w:val="000000"/>
        </w:rPr>
      </w:pPr>
      <w:r>
        <w:rPr>
          <w:color w:val="000000"/>
        </w:rPr>
        <w:t>Henry Bath Warehousing Accrual income recognised $600 k. Physical merchanting businesses as a whole reported a loss of $(90) k.</w:t>
      </w:r>
    </w:p>
    <w:p>
      <w:pPr>
        <w:pStyle w:val="Subject"/>
        <w:spacing w:lineRule="atLeast" w:line="240"/>
        <w:rPr>
          <w:color w:val="000000"/>
        </w:rPr>
      </w:pPr>
      <w:r>
        <w:rPr>
          <w:color w:val="000000"/>
        </w:rPr>
      </w:r>
    </w:p>
    <w:p>
      <w:pPr>
        <w:pStyle w:val="Subject"/>
        <w:rPr>
          <w:color w:val="000000"/>
        </w:rPr>
      </w:pPr>
      <w:r>
        <w:rPr>
          <w:color w:val="000000"/>
        </w:rPr>
        <w:t>The Credit Trading Book reported a net loss of  $(1,406) k. Of this amount, the UK Credit Trading book reported a loss of $(1,409) k driven by MTM on the CDS, Portfolio trades, Bonds and on the Equities.</w:t>
      </w:r>
    </w:p>
    <w:p>
      <w:pPr>
        <w:pStyle w:val="Subject"/>
        <w:rPr>
          <w:color w:val="000000"/>
        </w:rPr>
      </w:pPr>
      <w:r>
        <w:rPr>
          <w:rFonts w:eastAsia="Arial"/>
          <w:color w:val="000000"/>
        </w:rPr>
        <w:t xml:space="preserve">  </w:t>
      </w:r>
      <w:r>
        <w:rPr>
          <w:color w:val="000000"/>
        </w:rPr>
        <w:t xml:space="preserve">In the CDS portfolio the weekly change was $237k driven by the following sectors and spread moves across ratings categories:  </w:t>
      </w:r>
    </w:p>
    <w:p>
      <w:pPr>
        <w:pStyle w:val="Subject"/>
        <w:numPr>
          <w:ilvl w:val="0"/>
          <w:numId w:val="3"/>
        </w:numPr>
        <w:rPr>
          <w:color w:val="000000"/>
        </w:rPr>
      </w:pPr>
      <w:r>
        <w:rPr>
          <w:color w:val="000000"/>
        </w:rPr>
        <w:t>Communications lost ($315k) driven by an 4bps tightening in the A-category</w:t>
      </w:r>
    </w:p>
    <w:p>
      <w:pPr>
        <w:pStyle w:val="Subject"/>
        <w:numPr>
          <w:ilvl w:val="0"/>
          <w:numId w:val="3"/>
        </w:numPr>
        <w:rPr>
          <w:color w:val="000000"/>
        </w:rPr>
      </w:pPr>
      <w:r>
        <w:rPr>
          <w:color w:val="000000"/>
        </w:rPr>
        <w:t>Consumer, Non-Cyclical made $281k driven by a tightening of 15bps in the BBB+ category.</w:t>
      </w:r>
    </w:p>
    <w:p>
      <w:pPr>
        <w:pStyle w:val="Subject"/>
        <w:numPr>
          <w:ilvl w:val="0"/>
          <w:numId w:val="3"/>
        </w:numPr>
        <w:rPr>
          <w:color w:val="000000"/>
        </w:rPr>
      </w:pPr>
      <w:r>
        <w:rPr>
          <w:color w:val="000000"/>
        </w:rPr>
        <w:t>Industrial made $228k driven by tightening of 5bps and 7bps across the BBB and BBB- categories respectively.</w:t>
      </w:r>
    </w:p>
    <w:p>
      <w:pPr>
        <w:pStyle w:val="Subject"/>
        <w:rPr>
          <w:color w:val="000000"/>
        </w:rPr>
      </w:pPr>
      <w:r>
        <w:rPr>
          <w:rFonts w:eastAsia="Arial"/>
          <w:color w:val="000000"/>
        </w:rPr>
        <w:t xml:space="preserve">  </w:t>
      </w:r>
      <w:r>
        <w:rPr>
          <w:color w:val="000000"/>
        </w:rPr>
        <w:t>The ISIS Portfolio lost ($966k) in MTM following a 3.7bps tightening.</w:t>
      </w:r>
    </w:p>
    <w:p>
      <w:pPr>
        <w:pStyle w:val="Subject"/>
        <w:rPr>
          <w:color w:val="000000"/>
        </w:rPr>
      </w:pPr>
      <w:r>
        <w:rPr>
          <w:rFonts w:eastAsia="Arial"/>
          <w:color w:val="000000"/>
        </w:rPr>
        <w:t xml:space="preserve">  </w:t>
      </w:r>
      <w:r>
        <w:rPr>
          <w:color w:val="000000"/>
        </w:rPr>
        <w:t>Bonds &amp; Repos lost ($151k)</w:t>
      </w:r>
    </w:p>
    <w:p>
      <w:pPr>
        <w:pStyle w:val="Subject"/>
        <w:numPr>
          <w:ilvl w:val="0"/>
          <w:numId w:val="2"/>
        </w:numPr>
        <w:rPr>
          <w:color w:val="000000"/>
        </w:rPr>
      </w:pPr>
      <w:r>
        <w:rPr>
          <w:color w:val="000000"/>
        </w:rPr>
        <w:t>Balance due to MTM across all positions.</w:t>
      </w:r>
    </w:p>
    <w:p>
      <w:pPr>
        <w:pStyle w:val="Subject"/>
        <w:numPr>
          <w:ilvl w:val="0"/>
          <w:numId w:val="2"/>
        </w:numPr>
        <w:rPr>
          <w:color w:val="000000"/>
        </w:rPr>
      </w:pPr>
      <w:r>
        <w:rPr>
          <w:color w:val="000000"/>
        </w:rPr>
        <w:t>Short $(8,000) k Edison 6.875 04 moved up 3 to 81 lost $(240) k.</w:t>
      </w:r>
    </w:p>
    <w:p>
      <w:pPr>
        <w:pStyle w:val="Subject"/>
        <w:rPr>
          <w:color w:val="000000"/>
        </w:rPr>
      </w:pPr>
      <w:r>
        <w:rPr>
          <w:color w:val="000000"/>
        </w:rPr>
      </w:r>
    </w:p>
    <w:p>
      <w:pPr>
        <w:pStyle w:val="Subject"/>
        <w:rPr>
          <w:color w:val="000000"/>
        </w:rPr>
      </w:pPr>
      <w:r>
        <w:rPr>
          <w:rFonts w:eastAsia="Arial"/>
          <w:color w:val="000000"/>
        </w:rPr>
        <w:t xml:space="preserve">  </w:t>
      </w:r>
      <w:r>
        <w:rPr>
          <w:color w:val="000000"/>
        </w:rPr>
        <w:t xml:space="preserve">The two Californian Utilities Equities shorted as a hedge for CDS positions rose resulting in a loss of ($493k). </w:t>
      </w:r>
    </w:p>
    <w:p>
      <w:pPr>
        <w:pStyle w:val="Subject"/>
        <w:numPr>
          <w:ilvl w:val="0"/>
          <w:numId w:val="4"/>
        </w:numPr>
        <w:rPr>
          <w:color w:val="000000"/>
        </w:rPr>
      </w:pPr>
      <w:r>
        <w:rPr>
          <w:color w:val="000000"/>
        </w:rPr>
        <w:t>Edison rose to 11.74 from 10.21.</w:t>
      </w:r>
    </w:p>
    <w:p>
      <w:pPr>
        <w:pStyle w:val="Subject"/>
        <w:numPr>
          <w:ilvl w:val="0"/>
          <w:numId w:val="4"/>
        </w:numPr>
        <w:rPr>
          <w:color w:val="000000"/>
        </w:rPr>
      </w:pPr>
      <w:r>
        <w:rPr>
          <w:color w:val="000000"/>
        </w:rPr>
        <w:t xml:space="preserve">PG&amp;E rose to 11.64 from 10.58. </w:t>
      </w:r>
    </w:p>
    <w:p>
      <w:pPr>
        <w:pStyle w:val="Subject"/>
        <w:rPr>
          <w:color w:val="000000"/>
        </w:rPr>
      </w:pPr>
      <w:r>
        <w:rPr>
          <w:rFonts w:eastAsia="Arial"/>
          <w:color w:val="000000"/>
        </w:rPr>
        <w:t xml:space="preserve">  </w:t>
      </w:r>
      <w:r>
        <w:rPr>
          <w:color w:val="000000"/>
        </w:rPr>
        <w:t>Brokerage costs were ($36k) as volumes have increased.</w:t>
      </w:r>
    </w:p>
    <w:p>
      <w:pPr>
        <w:pStyle w:val="Subject"/>
        <w:rPr>
          <w:color w:val="000000"/>
        </w:rPr>
      </w:pPr>
      <w:r>
        <w:rPr>
          <w:color w:val="000000"/>
        </w:rPr>
      </w:r>
    </w:p>
    <w:p>
      <w:pPr>
        <w:pStyle w:val="Subject"/>
        <w:rPr>
          <w:color w:val="FF0000"/>
        </w:rPr>
      </w:pPr>
      <w:r>
        <w:rPr>
          <w:color w:val="000000"/>
        </w:rPr>
        <w:t>Also included in the total Credit Trading P/L, is the US Debt P/L of $3 k.</w:t>
      </w:r>
    </w:p>
    <w:p>
      <w:pPr>
        <w:pStyle w:val="Subject"/>
        <w:rPr>
          <w:color w:val="000000"/>
        </w:rPr>
      </w:pPr>
      <w:r>
        <w:rPr>
          <w:color w:val="000000"/>
        </w:rPr>
      </w:r>
    </w:p>
    <w:p>
      <w:pPr>
        <w:pStyle w:val="Subject"/>
        <w:rPr/>
      </w:pPr>
      <w:r>
        <w:rPr>
          <w:color w:val="000000"/>
        </w:rPr>
        <w:t xml:space="preserve">The Structured Commodity Derivatives Books reported a weekly loss of $(42,026) k. </w:t>
      </w:r>
      <w:r>
        <w:rPr>
          <w:color w:val="000000"/>
          <w:lang w:val="en-AU"/>
        </w:rPr>
        <w:t xml:space="preserve"> The majority of this P/L was due to the Eastern books</w:t>
      </w:r>
      <w:r>
        <w:rPr>
          <w:color w:val="000000"/>
        </w:rPr>
        <w:t>, which reported a loss of $(38,596) k. The loss resulted from a large shift in the Power curve. There was an increase in the Off-Peaks and a decrease in the Peaks position. Also, a loss of $(2,277) was due to the Watershed book. This mainly raised again, from the increase of the UK Power curve on a net short position through to December 2010.</w:t>
      </w:r>
    </w:p>
    <w:p>
      <w:pPr>
        <w:pStyle w:val="Subject"/>
        <w:rPr>
          <w:color w:val="FF0000"/>
        </w:rPr>
      </w:pPr>
      <w:r>
        <w:rPr>
          <w:color w:val="FF0000"/>
        </w:rPr>
      </w:r>
    </w:p>
    <w:p>
      <w:pPr>
        <w:pStyle w:val="Subject"/>
        <w:rPr>
          <w:color w:val="000000"/>
        </w:rPr>
      </w:pPr>
      <w:r>
        <w:rPr>
          <w:color w:val="000000"/>
        </w:rPr>
        <w:t>Retail P/L for the reporting week was $1,184 k, this was all to the Enron Direct Gas book. The P/L was due to PMA adjustments.</w:t>
      </w:r>
    </w:p>
    <w:p>
      <w:pPr>
        <w:pStyle w:val="Subject"/>
        <w:rPr>
          <w:rFonts w:eastAsia="Arial"/>
          <w:color w:val="FF0000"/>
        </w:rPr>
      </w:pPr>
      <w:r>
        <w:rPr>
          <w:rFonts w:eastAsia="Arial"/>
          <w:color w:val="FF0000"/>
        </w:rPr>
        <w:t xml:space="preserve">  </w:t>
      </w:r>
    </w:p>
    <w:p>
      <w:pPr>
        <w:pStyle w:val="Subject"/>
        <w:rPr>
          <w:color w:val="000000"/>
        </w:rPr>
      </w:pPr>
      <w:r>
        <w:rPr>
          <w:color w:val="000000"/>
        </w:rPr>
        <w:t>The Interest rates Book reported P/L $1,383 k, due to Theta income on positive cashflows for the reporting week.</w:t>
      </w:r>
    </w:p>
    <w:p>
      <w:pPr>
        <w:pStyle w:val="Subject"/>
        <w:rPr>
          <w:color w:val="FF0000"/>
        </w:rPr>
      </w:pPr>
      <w:r>
        <w:rPr>
          <w:color w:val="FF0000"/>
        </w:rPr>
      </w:r>
    </w:p>
    <w:p>
      <w:pPr>
        <w:pStyle w:val="Subject"/>
        <w:rPr>
          <w:color w:val="000000"/>
        </w:rPr>
      </w:pPr>
      <w:r>
        <w:rPr>
          <w:color w:val="000000"/>
        </w:rPr>
        <w:t xml:space="preserve">The Cost of Capital Book reported P/L $(1,252) k, mainly due to the Metals and National Power contra interest adjustment. </w:t>
      </w:r>
    </w:p>
    <w:p>
      <w:pPr>
        <w:pStyle w:val="Subject"/>
        <w:rPr>
          <w:color w:val="FF0000"/>
        </w:rPr>
      </w:pPr>
      <w:r>
        <w:rPr>
          <w:color w:val="FF0000"/>
        </w:rPr>
      </w:r>
    </w:p>
    <w:p>
      <w:pPr>
        <w:pStyle w:val="Subject"/>
        <w:rPr>
          <w:color w:val="000000"/>
        </w:rPr>
      </w:pPr>
      <w:r>
        <w:rPr>
          <w:color w:val="000000"/>
        </w:rPr>
        <w:t>EX EI Assets are being reported for the first time. The YTD P/L of $40 k was due to the Margeaux book.</w:t>
      </w:r>
    </w:p>
    <w:p>
      <w:pPr>
        <w:pStyle w:val="Subject"/>
        <w:rPr>
          <w:color w:val="FF0000"/>
        </w:rPr>
      </w:pPr>
      <w:r>
        <w:rPr>
          <w:color w:val="FF0000"/>
        </w:rPr>
      </w:r>
    </w:p>
    <w:p>
      <w:pPr>
        <w:pStyle w:val="Subject"/>
        <w:rPr>
          <w:color w:val="000000"/>
          <w:sz w:val="28"/>
        </w:rPr>
      </w:pPr>
      <w:r>
        <w:rPr>
          <w:color w:val="000000"/>
        </w:rPr>
        <w:t>Other P/L of $2,509 k. Off this amount, $2,360 is due to the Equity Investment book. The quoted share price of Paladin Resources PLC increased from share price 48.5 pence to 52.5 pence. Also, included in the Other P/L is the J Block book, where a P/L of $149 k was reported.</w:t>
      </w:r>
    </w:p>
    <w:p>
      <w:pPr>
        <w:pStyle w:val="Normal"/>
        <w:rPr>
          <w:b/>
          <w:color w:val="000000"/>
          <w:sz w:val="28"/>
        </w:rPr>
      </w:pPr>
      <w:r>
        <w:rPr>
          <w:b/>
          <w:color w:val="000000"/>
          <w:sz w:val="28"/>
        </w:rPr>
      </w:r>
    </w:p>
    <w:p>
      <w:pPr>
        <w:pStyle w:val="Normal"/>
        <w:rPr>
          <w:b/>
          <w:color w:val="FF0000"/>
          <w:sz w:val="28"/>
        </w:rPr>
      </w:pPr>
      <w:r>
        <w:rPr>
          <w:b/>
          <w:color w:val="FF0000"/>
          <w:sz w:val="28"/>
        </w:rPr>
      </w:r>
    </w:p>
    <w:p>
      <w:pPr>
        <w:pStyle w:val="Normal"/>
        <w:rPr>
          <w:b/>
          <w:color w:val="FF0000"/>
          <w:sz w:val="28"/>
        </w:rPr>
      </w:pPr>
      <w:r>
        <w:rPr>
          <w:b/>
          <w:color w:val="FF0000"/>
          <w:sz w:val="28"/>
        </w:rPr>
      </w:r>
    </w:p>
    <w:p>
      <w:pPr>
        <w:pStyle w:val="Normal"/>
        <w:rPr>
          <w:b/>
          <w:sz w:val="28"/>
        </w:rPr>
      </w:pPr>
      <w:r>
        <w:rPr>
          <w:b/>
          <w:sz w:val="28"/>
        </w:rPr>
      </w:r>
      <w:r>
        <mc:AlternateContent>
          <mc:Choice Requires="wps">
            <w:drawing>
              <wp:anchor behindDoc="0" distT="0" distB="0" distL="118745" distR="118745" simplePos="0" locked="0" layoutInCell="0" allowOverlap="1" relativeHeight="3">
                <wp:simplePos x="0" y="0"/>
                <wp:positionH relativeFrom="page">
                  <wp:posOffset>364490</wp:posOffset>
                </wp:positionH>
                <wp:positionV relativeFrom="paragraph">
                  <wp:posOffset>24765</wp:posOffset>
                </wp:positionV>
                <wp:extent cx="3877310" cy="264160"/>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264160"/>
                        </a:xfrm>
                        <a:prstGeom prst="rect"/>
                        <a:solidFill>
                          <a:srgbClr val="FFFFFF">
                            <a:alpha val="0"/>
                          </a:srgbClr>
                        </a:solidFill>
                      </wps:spPr>
                      <wps:txbx>
                        <w:txbxContent>
                          <w:p>
                            <w:pPr>
                              <w:pStyle w:val="Heading1"/>
                              <w:ind w:start="0" w:end="0"/>
                              <w:rPr/>
                            </w:pPr>
                            <w:r>
                              <w:rPr/>
                              <w:t>Risk Analysis</w:t>
                            </w:r>
                          </w:p>
                        </w:txbxContent>
                      </wps:txbx>
                      <wps:bodyPr anchor="t" lIns="0" tIns="0" rIns="0" bIns="0">
                        <a:noAutofit/>
                      </wps:bodyPr>
                    </wps:wsp>
                  </a:graphicData>
                </a:graphic>
              </wp:anchor>
            </w:drawing>
          </mc:Choice>
          <mc:Fallback>
            <w:pict>
              <v:rect fillcolor="#FFFFFF" style="position:absolute;rotation:-0;width:305.3pt;height:20.8pt;mso-wrap-distance-left:9.35pt;mso-wrap-distance-right:9.35pt;mso-wrap-distance-top:0pt;mso-wrap-distance-bottom:0pt;margin-top:1.95pt;mso-position-vertical-relative:text;margin-left:28.7pt;mso-position-horizontal-relative:page">
                <v:fill opacity="0f"/>
                <v:textbox inset="0in,0in,0in,0in">
                  <w:txbxContent>
                    <w:p>
                      <w:pPr>
                        <w:pStyle w:val="Heading1"/>
                        <w:ind w:start="0" w:end="0"/>
                        <w:rPr/>
                      </w:pPr>
                      <w:r>
                        <w:rPr/>
                        <w:t>Risk Analysis</w:t>
                      </w:r>
                    </w:p>
                  </w:txbxContent>
                </v:textbox>
                <w10:wrap type="square"/>
              </v:rect>
            </w:pict>
          </mc:Fallback>
        </mc:AlternateContent>
      </w:r>
    </w:p>
    <w:p>
      <w:pPr>
        <w:pStyle w:val="Normal"/>
        <w:jc w:val="center"/>
        <w:rPr>
          <w:rFonts w:eastAsia="Arial"/>
        </w:rPr>
      </w:pPr>
      <w:r>
        <w:drawing>
          <wp:anchor behindDoc="0" distT="0" distB="0" distL="114935" distR="114935" simplePos="0" locked="0" layoutInCell="0" allowOverlap="1" relativeHeight="4">
            <wp:simplePos x="0" y="0"/>
            <wp:positionH relativeFrom="column">
              <wp:posOffset>-3811270</wp:posOffset>
            </wp:positionH>
            <wp:positionV relativeFrom="paragraph">
              <wp:posOffset>205105</wp:posOffset>
            </wp:positionV>
            <wp:extent cx="5843905" cy="7955280"/>
            <wp:effectExtent l="0" t="0" r="0" b="0"/>
            <wp:wrapTopAndBottom/>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3"/>
                    <a:srcRect l="-5" t="-4" r="-5" b="-4"/>
                    <a:stretch>
                      <a:fillRect/>
                    </a:stretch>
                  </pic:blipFill>
                  <pic:spPr bwMode="auto">
                    <a:xfrm>
                      <a:off x="0" y="0"/>
                      <a:ext cx="5843905" cy="7955280"/>
                    </a:xfrm>
                    <a:prstGeom prst="rect">
                      <a:avLst/>
                    </a:prstGeom>
                    <a:noFill/>
                  </pic:spPr>
                </pic:pic>
              </a:graphicData>
            </a:graphic>
          </wp:anchor>
        </w:drawing>
      </w:r>
      <w:r>
        <w:rPr>
          <w:rFonts w:eastAsia="Arial"/>
        </w:rPr>
        <w:t xml:space="preserve"> </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sectPr>
      <w:headerReference w:type="default" r:id="rId4"/>
      <w:headerReference w:type="first" r:id="rId5"/>
      <w:footerReference w:type="default" r:id="rId6"/>
      <w:footerReference w:type="first" r:id="rId7"/>
      <w:type w:val="nextPage"/>
      <w:pgSz w:w="11906" w:h="16838"/>
      <w:pgMar w:left="720" w:right="720" w:gutter="0" w:header="720" w:top="851"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jc w:val="center"/>
      <w:rPr>
        <w:b/>
        <w:sz w:val="16"/>
      </w:rPr>
    </w:pPr>
    <w:r>
      <w:rPr>
        <w:b/>
        <w:sz w:val="16"/>
      </w:rPr>
      <w:t>Endless Possibilites</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0"/>
      </w:rPr>
      <w:tab/>
      <w:t xml:space="preserve">              </w:t>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      </w:t>
      <w:tab/>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b/>
      <w:sz w:val="28"/>
      <w:lang w:val="en-GB"/>
    </w:rPr>
  </w:style>
  <w:style w:type="paragraph" w:styleId="Heading3">
    <w:name w:val="heading 3"/>
    <w:basedOn w:val="Normal"/>
    <w:next w:val="NormalIndent"/>
    <w:qFormat/>
    <w:pPr>
      <w:numPr>
        <w:ilvl w:val="2"/>
        <w:numId w:val="1"/>
      </w:numPr>
      <w:outlineLvl w:val="2"/>
    </w:pPr>
    <w:rPr>
      <w:rFonts w:ascii="CG Times (WN)" w:hAnsi="CG Times (WN)" w:cs="CG Times (WN)"/>
      <w:color w:val="000000"/>
      <w:sz w:val="22"/>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OC1">
    <w:name w:val="toc 1"/>
    <w:basedOn w:val="Normal"/>
    <w:next w:val="Normal"/>
    <w:pPr>
      <w:tabs>
        <w:tab w:val="clear" w:pos="540"/>
      </w:tabs>
      <w:spacing w:before="120" w:after="120"/>
    </w:pPr>
    <w:rPr>
      <w:rFonts w:ascii="Times New Roman" w:hAnsi="Times New Roman" w:cs="Times New Roman"/>
      <w:b/>
      <w:caps/>
      <w:sz w:val="20"/>
    </w:rPr>
  </w:style>
  <w:style w:type="paragraph" w:styleId="TOC2">
    <w:name w:val="toc 2"/>
    <w:basedOn w:val="Normal"/>
    <w:next w:val="Normal"/>
    <w:pPr>
      <w:tabs>
        <w:tab w:val="clear" w:pos="540"/>
      </w:tabs>
      <w:ind w:hanging="0" w:start="240" w:end="0"/>
    </w:pPr>
    <w:rPr>
      <w:rFonts w:ascii="Times New Roman" w:hAnsi="Times New Roman" w:cs="Times New Roman"/>
      <w:smallCaps/>
      <w:sz w:val="20"/>
    </w:rPr>
  </w:style>
  <w:style w:type="paragraph" w:styleId="TOC3">
    <w:name w:val="toc 3"/>
    <w:basedOn w:val="Normal"/>
    <w:next w:val="Normal"/>
    <w:pPr>
      <w:tabs>
        <w:tab w:val="clear" w:pos="540"/>
      </w:tabs>
      <w:ind w:hanging="0" w:start="480" w:end="0"/>
    </w:pPr>
    <w:rPr>
      <w:rFonts w:ascii="Times New Roman" w:hAnsi="Times New Roman" w:cs="Times New Roman"/>
      <w:i/>
      <w:sz w:val="20"/>
    </w:rPr>
  </w:style>
  <w:style w:type="paragraph" w:styleId="TOC4">
    <w:name w:val="toc 4"/>
    <w:basedOn w:val="Normal"/>
    <w:next w:val="Normal"/>
    <w:pPr>
      <w:tabs>
        <w:tab w:val="clear" w:pos="540"/>
      </w:tabs>
      <w:ind w:hanging="0" w:start="720" w:end="0"/>
    </w:pPr>
    <w:rPr>
      <w:rFonts w:ascii="Times New Roman" w:hAnsi="Times New Roman" w:cs="Times New Roman"/>
      <w:sz w:val="18"/>
    </w:rPr>
  </w:style>
  <w:style w:type="paragraph" w:styleId="TOC5">
    <w:name w:val="toc 5"/>
    <w:basedOn w:val="Normal"/>
    <w:next w:val="Normal"/>
    <w:pPr>
      <w:tabs>
        <w:tab w:val="clear" w:pos="540"/>
      </w:tabs>
      <w:ind w:hanging="0" w:start="960" w:end="0"/>
    </w:pPr>
    <w:rPr>
      <w:rFonts w:ascii="Times New Roman" w:hAnsi="Times New Roman" w:cs="Times New Roman"/>
      <w:sz w:val="18"/>
    </w:rPr>
  </w:style>
  <w:style w:type="paragraph" w:styleId="TOC6">
    <w:name w:val="toc 6"/>
    <w:basedOn w:val="Normal"/>
    <w:next w:val="Normal"/>
    <w:pPr>
      <w:tabs>
        <w:tab w:val="clear" w:pos="540"/>
      </w:tabs>
      <w:ind w:hanging="0" w:start="1200" w:end="0"/>
    </w:pPr>
    <w:rPr>
      <w:rFonts w:ascii="Times New Roman" w:hAnsi="Times New Roman" w:cs="Times New Roman"/>
      <w:sz w:val="18"/>
    </w:rPr>
  </w:style>
  <w:style w:type="paragraph" w:styleId="TOC7">
    <w:name w:val="toc 7"/>
    <w:basedOn w:val="Normal"/>
    <w:next w:val="Normal"/>
    <w:pPr>
      <w:tabs>
        <w:tab w:val="clear" w:pos="540"/>
      </w:tabs>
      <w:ind w:hanging="0" w:start="1440" w:end="0"/>
    </w:pPr>
    <w:rPr>
      <w:rFonts w:ascii="Times New Roman" w:hAnsi="Times New Roman" w:cs="Times New Roman"/>
      <w:sz w:val="18"/>
    </w:rPr>
  </w:style>
  <w:style w:type="paragraph" w:styleId="TOC8">
    <w:name w:val="toc 8"/>
    <w:basedOn w:val="Normal"/>
    <w:next w:val="Normal"/>
    <w:pPr>
      <w:tabs>
        <w:tab w:val="clear" w:pos="540"/>
      </w:tabs>
      <w:ind w:hanging="0" w:start="1680" w:end="0"/>
    </w:pPr>
    <w:rPr>
      <w:rFonts w:ascii="Times New Roman" w:hAnsi="Times New Roman" w:cs="Times New Roman"/>
      <w:sz w:val="18"/>
    </w:rPr>
  </w:style>
  <w:style w:type="paragraph" w:styleId="TOC9">
    <w:name w:val="toc 9"/>
    <w:basedOn w:val="Normal"/>
    <w:next w:val="Normal"/>
    <w:pPr>
      <w:tabs>
        <w:tab w:val="clear" w:pos="540"/>
      </w:tabs>
      <w:ind w:hanging="0" w:start="1920" w:end="0"/>
    </w:pPr>
    <w:rPr>
      <w:rFonts w:ascii="Times New Roman" w:hAnsi="Times New Roman" w:cs="Times New Roman"/>
      <w:sz w:val="18"/>
    </w:rPr>
  </w:style>
  <w:style w:type="paragraph" w:styleId="BodyText2">
    <w:name w:val="Body Text 2"/>
    <w:basedOn w:val="Normal"/>
    <w:qFormat/>
    <w:pPr/>
    <w:rPr>
      <w:color w:val="000000"/>
      <w:sz w:val="20"/>
      <w:lang w:val="en-AU"/>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233" w:leader="none"/>
        <w:tab w:val="right" w:pos="1046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2001-05-22T10:52:00Z</dcterms:created>
  <dc:creator>JNew</dc:creator>
  <dc:description/>
  <dc:language>en-CA</dc:language>
  <cp:lastModifiedBy>mkass</cp:lastModifiedBy>
  <cp:lastPrinted>2001-05-22T11:35:00Z</cp:lastPrinted>
  <dcterms:modified xsi:type="dcterms:W3CDTF">2001-05-22T10:52:00Z</dcterms:modified>
  <cp:revision>2</cp:revision>
  <dc:subject>Tractebel Meeting</dc:subject>
  <dc:title> </dc:title>
</cp:coreProperties>
</file>