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Executive Summary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City of Austin </w:t>
      </w:r>
    </w:p>
    <w:p>
      <w:pPr>
        <w:pStyle w:val="Normal"/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</w:rPr>
        <w:t>RFP Number: DC01300004</w:t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  <w:t>Renewable Energy Price</w:t>
      </w:r>
    </w:p>
    <w:p>
      <w:pPr>
        <w:pStyle w:val="Normal"/>
        <w:ind w:start="1440" w:end="0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</w:r>
    </w:p>
    <w:p>
      <w:pPr>
        <w:pStyle w:val="Normal"/>
        <w:ind w:hanging="4680" w:start="50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Cost of Energy: </w:t>
        <w:tab/>
        <w:t xml:space="preserve">$0.02690/kwh (10 year) escalating at 2% per contract year.  </w:t>
      </w:r>
    </w:p>
    <w:p>
      <w:pPr>
        <w:pStyle w:val="Normal"/>
        <w:ind w:hanging="4680" w:start="50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50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$0.02720/kwh (20 year) escalating at 2% per contract year</w:t>
      </w:r>
    </w:p>
    <w:p>
      <w:pPr>
        <w:pStyle w:val="Normal"/>
        <w:ind w:hanging="4680" w:start="50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ab/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Other Costs:</w:t>
        <w:tab/>
        <w:tab/>
        <w:tab/>
        <w:tab/>
        <w:tab/>
        <w:t>$0.00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hanging="4680" w:start="50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Price Certainty:</w:t>
        <w:tab/>
        <w:t xml:space="preserve">yes, price is known up-front </w:t>
      </w:r>
    </w:p>
    <w:p>
      <w:pPr>
        <w:pStyle w:val="Normal"/>
        <w:ind w:start="360" w:end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  <w:t>Project Viability</w:t>
      </w:r>
    </w:p>
    <w:p>
      <w:pPr>
        <w:pStyle w:val="Normal"/>
        <w:ind w:start="360" w:end="0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</w:r>
    </w:p>
    <w:p>
      <w:pPr>
        <w:pStyle w:val="Normal"/>
        <w:ind w:start="360" w:end="0"/>
        <w:rPr>
          <w:rFonts w:ascii="Arial" w:hAnsi="Arial" w:cs="Arial"/>
          <w:b/>
          <w:sz w:val="22"/>
        </w:rPr>
      </w:pPr>
      <w:r>
        <w:rPr>
          <w:rFonts w:cs="Arial" w:ascii="Arial" w:hAnsi="Arial"/>
          <w:sz w:val="22"/>
        </w:rPr>
        <w:t>Date of Commercial Operation:</w:t>
        <w:tab/>
      </w:r>
      <w:r>
        <w:rPr>
          <w:rFonts w:cs="Arial" w:ascii="Arial" w:hAnsi="Arial"/>
          <w:b/>
          <w:sz w:val="22"/>
        </w:rPr>
        <w:tab/>
        <w:tab/>
      </w:r>
      <w:r>
        <w:rPr>
          <w:rFonts w:cs="Arial" w:ascii="Arial" w:hAnsi="Arial"/>
          <w:sz w:val="22"/>
        </w:rPr>
        <w:t>May 1, 2002</w:t>
      </w:r>
    </w:p>
    <w:p>
      <w:pPr>
        <w:pStyle w:val="BodyTextIndent"/>
        <w:rPr/>
      </w:pPr>
      <w:r>
        <w:rPr/>
        <w:t>Facility could be operational as early as November 1, 2001.  If AE is interested, EPMI would be willing to discuss an start date earlier than May 1, 2002.</w:t>
      </w:r>
    </w:p>
    <w:p>
      <w:pPr>
        <w:pStyle w:val="BodyTextIndent"/>
        <w:ind w:start="360" w:end="0"/>
        <w:rPr/>
      </w:pPr>
      <w:r>
        <w:rPr/>
      </w:r>
    </w:p>
    <w:p>
      <w:pPr>
        <w:pStyle w:val="BodyTextIndent"/>
        <w:ind w:hanging="4680" w:end="0"/>
        <w:rPr/>
      </w:pPr>
      <w:r>
        <w:rPr/>
        <w:t>Capacity Value (Schedulability)</w:t>
        <w:tab/>
        <w:t>Project has a high capacity factor, one of the best wind sites in Texas</w:t>
      </w:r>
    </w:p>
    <w:p>
      <w:pPr>
        <w:pStyle w:val="BodyTextIndent"/>
        <w:ind w:start="360" w:end="0"/>
        <w:rPr/>
      </w:pPr>
      <w:r>
        <w:rPr/>
      </w:r>
    </w:p>
    <w:p>
      <w:pPr>
        <w:pStyle w:val="BodyTextIndent"/>
        <w:ind w:start="360" w:end="0"/>
        <w:rPr/>
      </w:pPr>
      <w:r>
        <w:rPr/>
        <w:t>Maximum Available Capacity</w:t>
        <w:tab/>
        <w:tab/>
        <w:tab/>
        <w:t>121.5 MW at Delivery Point</w:t>
      </w:r>
    </w:p>
    <w:p>
      <w:pPr>
        <w:pStyle w:val="BodyTextIndent"/>
        <w:ind w:start="360" w:end="0"/>
        <w:rPr/>
      </w:pPr>
      <w:r>
        <w:rPr/>
      </w:r>
    </w:p>
    <w:p>
      <w:pPr>
        <w:pStyle w:val="BodyTextIndent"/>
        <w:ind w:hanging="4680" w:end="0"/>
        <w:rPr/>
      </w:pPr>
      <w:r>
        <w:rPr/>
        <w:t>Proximity to Austin</w:t>
        <w:tab/>
        <w:t>241 miles from Austin, TX</w:t>
      </w:r>
    </w:p>
    <w:p>
      <w:pPr>
        <w:pStyle w:val="BodyTextIndent"/>
        <w:ind w:hanging="4680" w:end="0"/>
        <w:rPr/>
      </w:pPr>
      <w:r>
        <w:rPr/>
      </w:r>
    </w:p>
    <w:p>
      <w:pPr>
        <w:pStyle w:val="BodyTextIndent"/>
        <w:ind w:hanging="4680" w:end="0"/>
        <w:rPr/>
      </w:pPr>
      <w:r>
        <w:rPr/>
        <w:t>Projected Forced Outage Rate</w:t>
        <w:tab/>
      </w:r>
    </w:p>
    <w:p>
      <w:pPr>
        <w:pStyle w:val="BodyTextIndent"/>
        <w:ind w:hanging="4680" w:end="0"/>
        <w:rPr/>
      </w:pPr>
      <w:r>
        <w:rPr/>
      </w:r>
    </w:p>
    <w:p>
      <w:pPr>
        <w:pStyle w:val="BodyTextIndent"/>
        <w:ind w:hanging="4680" w:end="0"/>
        <w:rPr/>
      </w:pPr>
      <w:r>
        <w:rPr/>
        <w:t>Transmission Accessibility</w:t>
        <w:tab/>
        <w:t>Two interconnections to two separate 138kV and 69kV (projected to be upgraded to 138kV) transmission lines</w:t>
      </w:r>
    </w:p>
    <w:p>
      <w:pPr>
        <w:pStyle w:val="BodyTextIndent"/>
        <w:ind w:hanging="4680" w:end="0"/>
        <w:rPr/>
      </w:pPr>
      <w:r>
        <w:rPr/>
      </w:r>
    </w:p>
    <w:p>
      <w:pPr>
        <w:pStyle w:val="BodyTextIndent"/>
        <w:ind w:hanging="4680" w:end="0"/>
        <w:rPr/>
      </w:pPr>
      <w:r>
        <w:rPr/>
        <w:t>Regulatory Risk</w:t>
        <w:tab/>
        <w:t xml:space="preserve">Minimal </w:t>
      </w:r>
    </w:p>
    <w:p>
      <w:pPr>
        <w:pStyle w:val="BodyTextIndent"/>
        <w:ind w:hanging="4680" w:end="0"/>
        <w:rPr/>
      </w:pPr>
      <w:r>
        <w:rPr/>
      </w:r>
    </w:p>
    <w:p>
      <w:pPr>
        <w:pStyle w:val="BodyTextIndent"/>
        <w:numPr>
          <w:ilvl w:val="0"/>
          <w:numId w:val="1"/>
        </w:numPr>
        <w:rPr>
          <w:b/>
        </w:rPr>
      </w:pPr>
      <w:r>
        <w:rPr>
          <w:b/>
          <w:u w:val="single"/>
        </w:rPr>
        <w:t>Supplier Qualifications</w:t>
      </w:r>
    </w:p>
    <w:p>
      <w:pPr>
        <w:pStyle w:val="BodyTextIndent"/>
        <w:ind w:start="360" w:end="0"/>
        <w:rPr>
          <w:b/>
        </w:rPr>
      </w:pPr>
      <w:r>
        <w:rPr>
          <w:b/>
        </w:rPr>
      </w:r>
    </w:p>
    <w:p>
      <w:pPr>
        <w:pStyle w:val="BodyTextIndent"/>
        <w:ind w:hanging="4680" w:end="0"/>
        <w:rPr/>
      </w:pPr>
      <w:r>
        <w:rPr/>
        <w:t>Project Management Structure</w:t>
        <w:tab/>
        <w:t>Combination Enron Power Marketing, Inc. and Enron Wind Corp. effort, two industry leaders in their respective fields.</w:t>
      </w:r>
    </w:p>
    <w:p>
      <w:pPr>
        <w:pStyle w:val="BodyTextIndent"/>
        <w:ind w:start="360" w:end="0"/>
        <w:rPr/>
      </w:pPr>
      <w:r>
        <w:rPr/>
      </w:r>
    </w:p>
    <w:p>
      <w:pPr>
        <w:pStyle w:val="BodyTextIndent"/>
        <w:ind w:start="360" w:end="0"/>
        <w:rPr/>
      </w:pPr>
      <w:r>
        <w:rPr/>
        <w:t>Financial Strength of Enron Corp.</w:t>
        <w:tab/>
        <w:tab/>
        <w:t>Baa2   Moody’s</w:t>
      </w:r>
    </w:p>
    <w:p>
      <w:pPr>
        <w:pStyle w:val="BodyTextIndent"/>
        <w:ind w:start="360" w:end="0"/>
        <w:rPr/>
      </w:pPr>
      <w:r>
        <w:rPr/>
        <w:tab/>
        <w:tab/>
        <w:tab/>
        <w:tab/>
        <w:tab/>
        <w:tab/>
        <w:tab/>
        <w:t>BBB+  Standard and Poor’s</w:t>
      </w:r>
    </w:p>
    <w:p>
      <w:pPr>
        <w:pStyle w:val="BodyTextIndent"/>
        <w:ind w:start="360" w:end="0"/>
        <w:rPr/>
      </w:pPr>
      <w:r>
        <w:rPr/>
      </w:r>
    </w:p>
    <w:p>
      <w:pPr>
        <w:pStyle w:val="BodyTextIndent"/>
        <w:ind w:start="360" w:end="0"/>
        <w:rPr/>
      </w:pPr>
      <w:r>
        <w:rPr/>
      </w:r>
    </w:p>
    <w:p>
      <w:pPr>
        <w:pStyle w:val="BodyTextIndent"/>
        <w:ind w:start="360" w:end="0"/>
        <w:rPr/>
      </w:pPr>
      <w:r>
        <w:rPr/>
      </w:r>
    </w:p>
    <w:p>
      <w:pPr>
        <w:pStyle w:val="BodyTextIndent"/>
        <w:ind w:start="360" w:end="0"/>
        <w:rPr/>
      </w:pPr>
      <w:r>
        <w:rPr/>
        <w:t>Prior Experience Relevant to Proposal:</w:t>
      </w:r>
    </w:p>
    <w:p>
      <w:pPr>
        <w:pStyle w:val="BodyTextIndent"/>
        <w:ind w:start="360" w:end="0"/>
        <w:rPr/>
      </w:pPr>
      <w:r>
        <w:rPr/>
      </w:r>
    </w:p>
    <w:p>
      <w:pPr>
        <w:pStyle w:val="BodyTextIndent"/>
        <w:ind w:firstLine="360" w:start="2340" w:end="0"/>
        <w:rPr>
          <w:b/>
        </w:rPr>
      </w:pPr>
      <w:r>
        <w:rPr>
          <w:b/>
        </w:rPr>
        <w:t>Enron Power Marketing, Incorporated</w:t>
      </w:r>
    </w:p>
    <w:p>
      <w:pPr>
        <w:pStyle w:val="Normal"/>
        <w:numPr>
          <w:ilvl w:val="0"/>
          <w:numId w:val="2"/>
        </w:numPr>
        <w:ind w:hanging="180" w:start="2880" w:end="0"/>
        <w:jc w:val="both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  <w:t>Largest power marketer in North America</w:t>
      </w:r>
    </w:p>
    <w:p>
      <w:pPr>
        <w:pStyle w:val="Normal"/>
        <w:numPr>
          <w:ilvl w:val="0"/>
          <w:numId w:val="2"/>
        </w:numPr>
        <w:ind w:hanging="180" w:start="2880" w:end="0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  <w:t xml:space="preserve">Built, owns and operates over 11,000 MW of power generation </w:t>
      </w:r>
    </w:p>
    <w:p>
      <w:pPr>
        <w:pStyle w:val="Normal"/>
        <w:numPr>
          <w:ilvl w:val="0"/>
          <w:numId w:val="2"/>
        </w:numPr>
        <w:ind w:hanging="180" w:start="2880" w:end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</w:rPr>
        <w:t>EPMI is an experienced partner in developing long-term structured power transactions</w:t>
      </w:r>
    </w:p>
    <w:p>
      <w:pPr>
        <w:pStyle w:val="BodyTextIndent"/>
        <w:ind w:start="0" w:end="0"/>
        <w:rPr>
          <w:rFonts w:ascii="Arial" w:hAnsi="Arial" w:cs="Arial"/>
          <w:b/>
          <w:color w:val="000000"/>
        </w:rPr>
      </w:pPr>
      <w:r>
        <w:rPr>
          <w:rFonts w:cs="Arial"/>
          <w:b/>
          <w:color w:val="000000"/>
        </w:rPr>
      </w:r>
    </w:p>
    <w:p>
      <w:pPr>
        <w:pStyle w:val="BodyTextIndent"/>
        <w:ind w:firstLine="360" w:start="2340" w:end="0"/>
        <w:rPr>
          <w:b/>
        </w:rPr>
      </w:pPr>
      <w:r>
        <w:rPr>
          <w:b/>
        </w:rPr>
        <w:t>Enron Wind Corporation</w:t>
      </w:r>
    </w:p>
    <w:p>
      <w:pPr>
        <w:pStyle w:val="BodyTextIndent"/>
        <w:numPr>
          <w:ilvl w:val="0"/>
          <w:numId w:val="3"/>
        </w:numPr>
        <w:tabs>
          <w:tab w:val="clear" w:pos="720"/>
          <w:tab w:val="left" w:pos="2880" w:leader="none"/>
        </w:tabs>
        <w:ind w:hanging="180" w:start="2880" w:end="0"/>
        <w:rPr/>
      </w:pPr>
      <w:r>
        <w:rPr/>
        <w:t>Twenty years of experience in wind turbine installation</w:t>
      </w:r>
    </w:p>
    <w:p>
      <w:pPr>
        <w:pStyle w:val="BodyTextIndent"/>
        <w:numPr>
          <w:ilvl w:val="0"/>
          <w:numId w:val="3"/>
        </w:numPr>
        <w:tabs>
          <w:tab w:val="clear" w:pos="720"/>
          <w:tab w:val="left" w:pos="2880" w:leader="none"/>
        </w:tabs>
        <w:ind w:hanging="180" w:start="2880" w:end="0"/>
        <w:rPr/>
      </w:pPr>
      <w:r>
        <w:rPr/>
        <w:t>Developed/Sold more than 1,400 MW, comprising more than 4,300 turbines worldwide</w:t>
      </w:r>
    </w:p>
    <w:p>
      <w:pPr>
        <w:pStyle w:val="BodyTextIndent"/>
        <w:ind w:start="0" w:end="0"/>
        <w:rPr/>
      </w:pPr>
      <w:r>
        <w:rPr/>
      </w:r>
    </w:p>
    <w:p>
      <w:pPr>
        <w:pStyle w:val="BodyTextIndent"/>
        <w:ind w:firstLine="360" w:start="2340" w:end="0"/>
        <w:rPr>
          <w:b/>
        </w:rPr>
      </w:pPr>
      <w:r>
        <w:rPr>
          <w:b/>
        </w:rPr>
        <w:t>Enron Corporation</w:t>
      </w:r>
    </w:p>
    <w:p>
      <w:pPr>
        <w:pStyle w:val="BodyTextIndent"/>
        <w:numPr>
          <w:ilvl w:val="0"/>
          <w:numId w:val="4"/>
        </w:numPr>
        <w:tabs>
          <w:tab w:val="clear" w:pos="720"/>
          <w:tab w:val="left" w:pos="2880" w:leader="none"/>
        </w:tabs>
        <w:ind w:hanging="180" w:start="2880" w:end="0"/>
        <w:rPr/>
      </w:pPr>
      <w:r>
        <w:rPr/>
        <w:t xml:space="preserve">Ranked 18 on the 2000 </w:t>
      </w:r>
      <w:r>
        <w:rPr>
          <w:u w:val="single"/>
        </w:rPr>
        <w:t>Fortune</w:t>
      </w:r>
      <w:r>
        <w:rPr/>
        <w:t xml:space="preserve"> 500 list of U.S. Companies</w:t>
      </w:r>
    </w:p>
    <w:p>
      <w:pPr>
        <w:pStyle w:val="BodyTextIndent"/>
        <w:numPr>
          <w:ilvl w:val="0"/>
          <w:numId w:val="4"/>
        </w:numPr>
        <w:tabs>
          <w:tab w:val="clear" w:pos="720"/>
          <w:tab w:val="left" w:pos="2880" w:leader="none"/>
        </w:tabs>
        <w:ind w:hanging="180" w:start="2880" w:end="0"/>
        <w:rPr/>
      </w:pPr>
      <w:r>
        <w:rPr/>
        <w:t>$33 billion in assets in 1999</w:t>
      </w:r>
    </w:p>
    <w:p>
      <w:pPr>
        <w:pStyle w:val="BodyTextIndent"/>
        <w:numPr>
          <w:ilvl w:val="0"/>
          <w:numId w:val="4"/>
        </w:numPr>
        <w:tabs>
          <w:tab w:val="clear" w:pos="720"/>
          <w:tab w:val="left" w:pos="2880" w:leader="none"/>
        </w:tabs>
        <w:ind w:hanging="180" w:start="2880" w:end="0"/>
        <w:rPr/>
      </w:pPr>
      <w:r>
        <w:rPr/>
        <w:t>$40 billion in revenues in 1999</w:t>
      </w:r>
    </w:p>
    <w:p>
      <w:pPr>
        <w:pStyle w:val="BodyTextIndent"/>
        <w:ind w:start="2880" w:end="0"/>
        <w:rPr/>
      </w:pPr>
      <w:r>
        <w:rPr/>
      </w:r>
    </w:p>
    <w:p>
      <w:pPr>
        <w:pStyle w:val="BodyTextIndent"/>
        <w:ind w:start="360" w:end="0"/>
        <w:rPr>
          <w:b/>
          <w:u w:val="single"/>
        </w:rPr>
      </w:pPr>
      <w:r>
        <w:rPr>
          <w:b/>
          <w:u w:val="single"/>
        </w:rPr>
      </w:r>
    </w:p>
    <w:p>
      <w:pPr>
        <w:pStyle w:val="BodyTextIndent"/>
        <w:ind w:start="360" w:end="0"/>
        <w:rPr>
          <w:b/>
          <w:u w:val="single"/>
        </w:rPr>
      </w:pPr>
      <w:r>
        <w:rPr>
          <w:b/>
          <w:u w:val="single"/>
        </w:rPr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of </w:t>
    </w:r>
    <w:r>
      <w:rPr/>
      <w:fldChar w:fldCharType="begin"/>
    </w:r>
    <w:r>
      <w:rPr/>
      <w:instrText xml:space="preserve"> NUMPAGES \* ARABIC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</w:rPr>
    </w:pPr>
    <w:r>
      <w:rPr>
        <w:b/>
      </w:rPr>
      <w:t>Not an Offer, For Discussion Purposes Only.</w:t>
    </w:r>
  </w:p>
  <w:p>
    <w:pPr>
      <w:pStyle w:val="Header"/>
      <w:jc w:val="end"/>
      <w:rPr>
        <w:b/>
      </w:rPr>
    </w:pPr>
    <w:r>
      <w:rPr>
        <w:b/>
      </w:rPr>
      <w:t>Proprietary &amp; Confidential Information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5040" w:end="0"/>
    </w:pPr>
    <w:rPr>
      <w:rFonts w:ascii="Arial" w:hAnsi="Arial" w:cs="Arial"/>
      <w:sz w:val="22"/>
    </w:rPr>
  </w:style>
  <w:style w:type="paragraph" w:styleId="ListContinue">
    <w:name w:val="List Continue"/>
    <w:basedOn w:val="List"/>
    <w:qFormat/>
    <w:pPr>
      <w:numPr>
        <w:ilvl w:val="0"/>
        <w:numId w:val="5"/>
      </w:numPr>
      <w:spacing w:before="0" w:after="120"/>
      <w:ind w:hanging="0" w:start="1440" w:end="0"/>
    </w:pPr>
    <w:rPr>
      <w:rFonts w:ascii="Arial" w:hAnsi="Arial" w:cs="Arial"/>
      <w:sz w:val="22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2001-01-18T18:41:00Z</dcterms:created>
  <dc:creator>cahn</dc:creator>
  <dc:description/>
  <dc:language>en-CA</dc:language>
  <cp:lastModifiedBy>cahn</cp:lastModifiedBy>
  <cp:lastPrinted>2001-01-18T10:40:00Z</cp:lastPrinted>
  <dcterms:modified xsi:type="dcterms:W3CDTF">2001-01-18T18:41:00Z</dcterms:modified>
  <cp:revision>2</cp:revision>
  <dc:subject/>
  <dc:title>Executive Summary</dc:title>
</cp:coreProperties>
</file>