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ENRON GLOBaL MARKETS</w:t>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t>PROJECT FIREBALL</w:t>
      </w:r>
    </w:p>
    <w:p>
      <w:pPr>
        <w:pStyle w:val="Heading1"/>
        <w:ind w:hanging="0" w:start="0"/>
        <w:rPr/>
      </w:pPr>
      <w:r>
        <w:rPr/>
        <w:t>Due Diligence</w:t>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t xml:space="preserve">Human resources section </w:t>
      </w:r>
    </w:p>
    <w:p>
      <w:pPr>
        <w:pStyle w:val="Heading1"/>
        <w:ind w:hanging="0" w:start="0"/>
        <w:rPr/>
      </w:pPr>
      <w:r>
        <w:rPr/>
      </w:r>
    </w:p>
    <w:p>
      <w:pPr>
        <w:pStyle w:val="Normal"/>
        <w:rPr/>
      </w:pPr>
      <w:r>
        <w:rPr/>
      </w:r>
    </w:p>
    <w:p>
      <w:pPr>
        <w:pStyle w:val="Normal"/>
        <w:rPr/>
      </w:pPr>
      <w:r>
        <w:rPr/>
      </w:r>
    </w:p>
    <w:p>
      <w:pPr>
        <w:pStyle w:val="Heading1"/>
        <w:ind w:hanging="0" w:start="0"/>
        <w:rPr/>
      </w:pPr>
      <w:r>
        <w:rPr/>
        <w:t xml:space="preserve">Presented by </w:t>
      </w:r>
    </w:p>
    <w:p>
      <w:pPr>
        <w:pStyle w:val="Heading1"/>
        <w:ind w:hanging="0" w:start="0"/>
        <w:rPr/>
      </w:pPr>
      <w:r>
        <w:rPr/>
      </w:r>
    </w:p>
    <w:p>
      <w:pPr>
        <w:pStyle w:val="Normal"/>
        <w:rPr/>
      </w:pPr>
      <w:r>
        <w:rPr/>
      </w:r>
    </w:p>
    <w:p>
      <w:pPr>
        <w:pStyle w:val="Normal"/>
        <w:rPr/>
      </w:pPr>
      <w:r>
        <w:rPr/>
      </w:r>
    </w:p>
    <w:p>
      <w:pPr>
        <w:pStyle w:val="Heading1"/>
        <w:ind w:hanging="0" w:start="0"/>
        <w:rPr/>
      </w:pPr>
      <w:r>
        <w:rPr/>
        <w:t>EWS mergers, acquisitions, and divestitures team</w:t>
      </w:r>
    </w:p>
    <w:p>
      <w:pPr>
        <w:pStyle w:val="Normal"/>
        <w:rPr/>
      </w:pPr>
      <w:r>
        <w:rPr/>
      </w:r>
    </w:p>
    <w:p>
      <w:pPr>
        <w:pStyle w:val="Normal"/>
        <w:rPr/>
      </w:pPr>
      <w:r>
        <w:rPr/>
      </w:r>
    </w:p>
    <w:p>
      <w:pPr>
        <w:pStyle w:val="Normal"/>
        <w:jc w:val="center"/>
        <w:rPr>
          <w:rFonts w:ascii="Castellar" w:hAnsi="Castellar" w:cs="Castellar"/>
          <w:b/>
          <w:bCs/>
        </w:rPr>
      </w:pPr>
      <w:r>
        <w:rPr>
          <w:rFonts w:cs="Castellar" w:ascii="Castellar" w:hAnsi="Castellar"/>
          <w:b/>
          <w:bCs/>
        </w:rPr>
        <w:t>July 27, 2001</w:t>
      </w:r>
      <w:r>
        <w:br w:type="page"/>
      </w:r>
    </w:p>
    <w:p>
      <w:pPr>
        <w:pStyle w:val="Heading1"/>
        <w:ind w:hanging="0" w:start="0"/>
        <w:rPr/>
      </w:pPr>
      <w:r>
        <w:rPr/>
        <w:t>Executive Summary</w:t>
      </w:r>
    </w:p>
    <w:p>
      <w:pPr>
        <w:pStyle w:val="Normal"/>
        <w:rPr/>
      </w:pPr>
      <w:r>
        <w:rPr/>
      </w:r>
    </w:p>
    <w:p>
      <w:pPr>
        <w:pStyle w:val="Heading2"/>
        <w:ind w:hanging="0" w:start="0"/>
        <w:rPr>
          <w:rFonts w:ascii="Castellar" w:hAnsi="Castellar" w:cs="Tahoma"/>
          <w:sz w:val="20"/>
        </w:rPr>
      </w:pPr>
      <w:r>
        <w:rPr>
          <w:rFonts w:cs="Tahoma" w:ascii="Castellar" w:hAnsi="Castellar"/>
          <w:sz w:val="20"/>
        </w:rPr>
        <w:t>Purpose</w:t>
      </w:r>
    </w:p>
    <w:p>
      <w:pPr>
        <w:pStyle w:val="BodyText2"/>
        <w:ind w:firstLine="360" w:end="0"/>
        <w:rPr>
          <w:rFonts w:ascii="Tahoma" w:hAnsi="Tahoma" w:cs="Tahoma"/>
        </w:rPr>
      </w:pPr>
      <w:r>
        <w:rPr>
          <w:rFonts w:cs="Tahoma" w:ascii="Tahoma" w:hAnsi="Tahoma"/>
        </w:rPr>
        <w:t>The intent of this due diligence report is to provide the Coal Group within Enron Global Markets with recent findings from document review and site visits to Triton’s mines in the Powder River Basin by members of the HR community.  Our report will summarize information supplied by various sources including: Berenson Minella &amp; Co., Shanna Funkhouser (EGM HR-Rep) and Pat Mackin (Enron’s ERISA attorney).</w:t>
      </w:r>
    </w:p>
    <w:p>
      <w:pPr>
        <w:pStyle w:val="Normal"/>
        <w:rPr>
          <w:rFonts w:ascii="Tahoma" w:hAnsi="Tahoma" w:cs="Tahoma"/>
          <w:sz w:val="20"/>
        </w:rPr>
      </w:pPr>
      <w:r>
        <w:rPr>
          <w:rFonts w:cs="Tahoma" w:ascii="Tahoma" w:hAnsi="Tahoma"/>
          <w:sz w:val="20"/>
        </w:rPr>
      </w:r>
    </w:p>
    <w:p>
      <w:pPr>
        <w:pStyle w:val="Heading2"/>
        <w:ind w:hanging="0" w:start="0"/>
        <w:rPr>
          <w:rFonts w:ascii="Castellar" w:hAnsi="Castellar" w:cs="Castellar"/>
          <w:sz w:val="20"/>
        </w:rPr>
      </w:pPr>
      <w:r>
        <w:rPr>
          <w:rFonts w:cs="Castellar" w:ascii="Castellar" w:hAnsi="Castellar"/>
          <w:sz w:val="20"/>
        </w:rPr>
        <w:t xml:space="preserve">Focus  </w:t>
      </w:r>
    </w:p>
    <w:p>
      <w:pPr>
        <w:pStyle w:val="BodyText2"/>
        <w:ind w:firstLine="360" w:end="0"/>
        <w:rPr>
          <w:rFonts w:ascii="Tahoma" w:hAnsi="Tahoma" w:cs="Tahoma"/>
        </w:rPr>
      </w:pPr>
      <w:r>
        <w:rPr>
          <w:rFonts w:cs="Tahoma" w:ascii="Tahoma" w:hAnsi="Tahoma"/>
        </w:rPr>
        <w:t xml:space="preserve">The report will concentrate on seven (7) areas including Culture, Employee Training, the Workforce, the Mines (physical location), Employee Benefits, Staffing, and Compensation. Our group’s observations and recommendations must be framed in the context of limited available data.  Our preliminary recommendations require significantly more data in order to substantiate and validate.  </w:t>
      </w:r>
    </w:p>
    <w:p>
      <w:pPr>
        <w:pStyle w:val="Normal"/>
        <w:ind w:firstLine="360" w:end="0"/>
        <w:rPr>
          <w:rFonts w:ascii="Tahoma" w:hAnsi="Tahoma" w:cs="Tahoma"/>
        </w:rPr>
      </w:pPr>
      <w:r>
        <w:rPr>
          <w:rFonts w:cs="Tahoma" w:ascii="Tahoma" w:hAnsi="Tahoma"/>
        </w:rPr>
      </w:r>
    </w:p>
    <w:p>
      <w:pPr>
        <w:pStyle w:val="Heading2"/>
        <w:ind w:hanging="0" w:start="0"/>
        <w:rPr>
          <w:rFonts w:ascii="Castellar" w:hAnsi="Castellar" w:cs="Castellar"/>
          <w:sz w:val="20"/>
        </w:rPr>
      </w:pPr>
      <w:r>
        <w:rPr>
          <w:rFonts w:cs="Castellar" w:ascii="Castellar" w:hAnsi="Castellar"/>
          <w:sz w:val="20"/>
        </w:rPr>
        <w:t>Summary</w:t>
      </w:r>
    </w:p>
    <w:p>
      <w:pPr>
        <w:pStyle w:val="BodyText2"/>
        <w:autoSpaceDE w:val="true"/>
        <w:ind w:firstLine="360" w:end="0"/>
        <w:jc w:val="both"/>
        <w:rPr>
          <w:rFonts w:ascii="Tahoma" w:hAnsi="Tahoma" w:cs="Tahoma"/>
        </w:rPr>
      </w:pPr>
      <w:r>
        <w:rPr>
          <w:rFonts w:cs="Tahoma" w:ascii="Tahoma" w:hAnsi="Tahoma"/>
        </w:rPr>
        <w:t>The initial impression of the company culture is positive.  The mine appears to be well respected in the local community and maintains a relatively stable workforce.  A clearly defined chain of command and method of communication is apparent while good relations appear to exist among the miners and between the miners and management.  Management supports a culture that is aimed at maximizing production and therefore profits.  This is consistent with Enron’s vision for any acquired company.</w:t>
      </w:r>
    </w:p>
    <w:p>
      <w:pPr>
        <w:pStyle w:val="BodyText2"/>
        <w:autoSpaceDE w:val="true"/>
        <w:ind w:firstLine="360" w:end="0"/>
        <w:jc w:val="both"/>
        <w:rPr>
          <w:rFonts w:ascii="Tahoma" w:hAnsi="Tahoma" w:cs="Tahoma"/>
        </w:rPr>
      </w:pPr>
      <w:r>
        <w:rPr>
          <w:rFonts w:cs="Tahoma" w:ascii="Tahoma" w:hAnsi="Tahoma"/>
        </w:rPr>
        <w:t>Non-union workers comprise the Buckskin and North Rochelle Mines.  This may reduce costs and complications for an acquiring company such as Enron. Employees are trained on the job and are promoted based on the attainment of hierarchical skill levels. As a result, the workforce is cross-trained and according to management is redeployed to other tasks during changes in operational interruptions.</w:t>
      </w:r>
    </w:p>
    <w:p>
      <w:pPr>
        <w:pStyle w:val="Normal"/>
        <w:ind w:firstLine="360" w:end="0"/>
        <w:jc w:val="both"/>
        <w:rPr>
          <w:rFonts w:ascii="Tahoma" w:hAnsi="Tahoma" w:cs="Tahoma"/>
          <w:sz w:val="20"/>
        </w:rPr>
      </w:pPr>
      <w:r>
        <w:rPr>
          <w:rFonts w:cs="Tahoma" w:ascii="Tahoma" w:hAnsi="Tahoma"/>
          <w:sz w:val="20"/>
        </w:rPr>
        <w:t>Retention has become an issue as a result of new business in the area as well as a perceived lower rate of compensation.  Projected increases in personnel over the next 5 years are minimal.  Upon purchase, the acquiring company must anticipate an increase in salary cost or face the possibility of increased attrition.</w:t>
      </w:r>
    </w:p>
    <w:p>
      <w:pPr>
        <w:pStyle w:val="Subtitle"/>
        <w:ind w:firstLine="360" w:end="0"/>
        <w:jc w:val="both"/>
        <w:rPr>
          <w:rFonts w:ascii="Tahoma" w:hAnsi="Tahoma" w:cs="Tahoma"/>
          <w:b w:val="false"/>
          <w:bCs w:val="false"/>
          <w:sz w:val="20"/>
        </w:rPr>
      </w:pPr>
      <w:r>
        <w:rPr>
          <w:rFonts w:cs="Tahoma" w:ascii="Tahoma" w:hAnsi="Tahoma"/>
          <w:b w:val="false"/>
          <w:bCs w:val="false"/>
          <w:sz w:val="20"/>
        </w:rPr>
        <w:t xml:space="preserve">Enron needs to be cognizant of any formal or informal agreements (compensation and job related).  Agreements may present an unseen cost to Enron and copies of any contractual agreement must be viewed before any deal valuation is finalized.  Hidden “golden parachute” clauses or “change of control triggers” may result in increased financial exposure to Enron. </w:t>
      </w:r>
    </w:p>
    <w:p>
      <w:pPr>
        <w:pStyle w:val="Subtitle"/>
        <w:ind w:firstLine="360" w:end="0"/>
        <w:jc w:val="both"/>
        <w:rPr>
          <w:rFonts w:ascii="Tahoma" w:hAnsi="Tahoma" w:cs="Tahoma"/>
          <w:b w:val="false"/>
          <w:bCs w:val="false"/>
          <w:sz w:val="20"/>
        </w:rPr>
      </w:pPr>
      <w:r>
        <w:rPr>
          <w:rFonts w:cs="Tahoma" w:ascii="Tahoma" w:hAnsi="Tahoma"/>
          <w:b w:val="false"/>
          <w:bCs w:val="false"/>
          <w:sz w:val="20"/>
        </w:rPr>
        <w:t xml:space="preserve">Compensation for miners and warehouse workers appear to be structured fairly.  Two incentive programs are in operation in the mine, a production incentive plan and a safety incentive plan.  The EWS compensation group has reviewed these plans and indicates no obvious flaws.  A concern does exist regarding the safety incentive plan.  There is a concern that the plan may promote the non-reporting of injuries that may lead to both legal and benefit plan risk.  More investigation during final due diligence is needed to determine if this is in fact the case. </w:t>
      </w:r>
    </w:p>
    <w:p>
      <w:pPr>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pStyle w:val="BodyText2"/>
        <w:numPr>
          <w:ilvl w:val="0"/>
          <w:numId w:val="0"/>
        </w:numPr>
        <w:autoSpaceDE w:val="true"/>
        <w:ind w:firstLine="360" w:start="0" w:end="0"/>
        <w:jc w:val="both"/>
        <w:rPr>
          <w:rFonts w:ascii="Tahoma" w:hAnsi="Tahoma" w:cs="Tahoma"/>
        </w:rPr>
      </w:pPr>
      <w:r>
        <w:rPr>
          <w:rFonts w:cs="Tahoma" w:ascii="Tahoma" w:hAnsi="Tahoma"/>
        </w:rPr>
        <w:t>Triton appears to offer suitable benefits to their employees. Pat Mackin (Enron’s ERISA attorney) and Enron’s Benefit Group are currently conducting a benefits comparison analysis and will forward their findings to the deal team.  The benefits section of this due diligence is perhaps the most important area that the deal team will address from a Human Resources perspective.  Final due diligence will be required to determine the level of funding of Triton’s benefit plans.  Under-funded or non-compliant plans could expose Enron to additional costs, which need to be considered when determining the value of the final deal.</w:t>
      </w:r>
    </w:p>
    <w:p>
      <w:pPr>
        <w:pStyle w:val="Heading1"/>
        <w:ind w:hanging="0" w:start="0"/>
        <w:jc w:val="start"/>
        <w:rPr>
          <w:rFonts w:ascii="Tahoma" w:hAnsi="Tahoma" w:cs="Tahoma"/>
        </w:rPr>
      </w:pPr>
      <w:r>
        <w:rPr>
          <w:rFonts w:cs="Tahoma" w:ascii="Tahoma" w:hAnsi="Tahoma"/>
        </w:rPr>
      </w:r>
    </w:p>
    <w:p>
      <w:pPr>
        <w:pStyle w:val="Heading1"/>
        <w:ind w:hanging="0" w:start="0"/>
        <w:jc w:val="start"/>
        <w:rPr/>
      </w:pPr>
      <w:r>
        <w:rPr/>
      </w:r>
    </w:p>
    <w:p>
      <w:pPr>
        <w:pStyle w:val="Heading1"/>
        <w:ind w:hanging="0" w:start="0"/>
        <w:jc w:val="start"/>
        <w:rPr/>
      </w:pPr>
      <w:r>
        <w:rPr/>
        <w:t>Culture</w:t>
      </w:r>
    </w:p>
    <w:p>
      <w:pPr>
        <w:pStyle w:val="Normal"/>
        <w:rPr/>
      </w:pPr>
      <w:r>
        <w:rPr/>
      </w:r>
    </w:p>
    <w:p>
      <w:pPr>
        <w:pStyle w:val="Heading5"/>
        <w:rPr/>
      </w:pPr>
      <w:r>
        <w:rPr/>
        <w:t>Feedback</w:t>
      </w:r>
    </w:p>
    <w:p>
      <w:pPr>
        <w:pStyle w:val="Normal"/>
        <w:rPr/>
      </w:pPr>
      <w:r>
        <w:rPr/>
      </w:r>
    </w:p>
    <w:p>
      <w:pPr>
        <w:pStyle w:val="Subtitle"/>
        <w:rPr>
          <w:rFonts w:ascii="Tahoma" w:hAnsi="Tahoma" w:cs="Tahoma"/>
        </w:rPr>
      </w:pPr>
      <w:r>
        <w:rPr>
          <w:rFonts w:cs="Tahoma" w:ascii="Tahoma" w:hAnsi="Tahoma"/>
        </w:rPr>
      </w:r>
    </w:p>
    <w:tbl>
      <w:tblPr>
        <w:tblW w:w="8568" w:type="dxa"/>
        <w:jc w:val="start"/>
        <w:tblInd w:w="720" w:type="dxa"/>
        <w:tblLayout w:type="fixed"/>
        <w:tblCellMar>
          <w:top w:w="0" w:type="dxa"/>
          <w:start w:w="108" w:type="dxa"/>
          <w:bottom w:w="0" w:type="dxa"/>
          <w:end w:w="108" w:type="dxa"/>
        </w:tblCellMar>
      </w:tblPr>
      <w:tblGrid>
        <w:gridCol w:w="4428"/>
        <w:gridCol w:w="4140"/>
      </w:tblGrid>
      <w:tr>
        <w:trPr/>
        <w:tc>
          <w:tcPr>
            <w:tcW w:w="4428" w:type="dxa"/>
            <w:tcBorders/>
          </w:tcPr>
          <w:p>
            <w:pPr>
              <w:pStyle w:val="Subtitle"/>
              <w:numPr>
                <w:ilvl w:val="0"/>
                <w:numId w:val="10"/>
              </w:numPr>
              <w:rPr>
                <w:rFonts w:ascii="Tahoma" w:hAnsi="Tahoma" w:cs="Tahoma"/>
                <w:b w:val="false"/>
                <w:bCs w:val="false"/>
                <w:sz w:val="20"/>
              </w:rPr>
            </w:pPr>
            <w:r>
              <w:rPr>
                <w:rFonts w:cs="Tahoma" w:ascii="Tahoma" w:hAnsi="Tahoma"/>
                <w:b w:val="false"/>
                <w:bCs w:val="false"/>
                <w:sz w:val="20"/>
              </w:rPr>
              <w:t>Positive mine culture (site visit)</w:t>
            </w:r>
          </w:p>
        </w:tc>
        <w:tc>
          <w:tcPr>
            <w:tcW w:w="4140" w:type="dxa"/>
            <w:tcBorders/>
          </w:tcPr>
          <w:p>
            <w:pPr>
              <w:pStyle w:val="Subtitle"/>
              <w:numPr>
                <w:ilvl w:val="0"/>
                <w:numId w:val="10"/>
              </w:numPr>
              <w:rPr>
                <w:rFonts w:ascii="Tahoma" w:hAnsi="Tahoma" w:cs="Tahoma"/>
                <w:b w:val="false"/>
                <w:bCs w:val="false"/>
                <w:sz w:val="20"/>
              </w:rPr>
            </w:pPr>
            <w:r>
              <w:rPr>
                <w:rFonts w:cs="Tahoma" w:ascii="Tahoma" w:hAnsi="Tahoma"/>
                <w:b w:val="false"/>
                <w:bCs w:val="false"/>
                <w:sz w:val="20"/>
              </w:rPr>
              <w:t>The reputation in the community is positive</w:t>
            </w:r>
          </w:p>
        </w:tc>
      </w:tr>
      <w:tr>
        <w:trPr/>
        <w:tc>
          <w:tcPr>
            <w:tcW w:w="4428" w:type="dxa"/>
            <w:tcBorders/>
          </w:tcPr>
          <w:p>
            <w:pPr>
              <w:pStyle w:val="Subtitle"/>
              <w:snapToGrid w:val="false"/>
              <w:rPr>
                <w:rFonts w:ascii="Tahoma" w:hAnsi="Tahoma" w:cs="Tahoma"/>
                <w:b w:val="false"/>
                <w:bCs w:val="false"/>
                <w:sz w:val="20"/>
              </w:rPr>
            </w:pPr>
            <w:r>
              <w:rPr>
                <w:rFonts w:cs="Tahoma" w:ascii="Tahoma" w:hAnsi="Tahoma"/>
                <w:b w:val="false"/>
                <w:bCs w:val="false"/>
                <w:sz w:val="20"/>
              </w:rPr>
            </w:r>
          </w:p>
          <w:p>
            <w:pPr>
              <w:pStyle w:val="Subtitle"/>
              <w:numPr>
                <w:ilvl w:val="0"/>
                <w:numId w:val="10"/>
              </w:numPr>
              <w:rPr>
                <w:rFonts w:ascii="Tahoma" w:hAnsi="Tahoma" w:cs="Tahoma"/>
                <w:b w:val="false"/>
                <w:bCs w:val="false"/>
                <w:sz w:val="20"/>
              </w:rPr>
            </w:pPr>
            <w:r>
              <w:rPr>
                <w:rFonts w:cs="Tahoma" w:ascii="Tahoma" w:hAnsi="Tahoma"/>
                <w:b w:val="false"/>
                <w:bCs w:val="false"/>
                <w:sz w:val="20"/>
              </w:rPr>
              <w:t>Clean mine environment</w:t>
            </w:r>
          </w:p>
        </w:tc>
        <w:tc>
          <w:tcPr>
            <w:tcW w:w="4140" w:type="dxa"/>
            <w:tcBorders/>
          </w:tcPr>
          <w:p>
            <w:pPr>
              <w:pStyle w:val="Subtitle"/>
              <w:snapToGrid w:val="false"/>
              <w:rPr>
                <w:rFonts w:ascii="Tahoma" w:hAnsi="Tahoma" w:cs="Tahoma"/>
                <w:b w:val="false"/>
                <w:bCs w:val="false"/>
                <w:sz w:val="20"/>
              </w:rPr>
            </w:pPr>
            <w:r>
              <w:rPr>
                <w:rFonts w:cs="Tahoma" w:ascii="Tahoma" w:hAnsi="Tahoma"/>
                <w:b w:val="false"/>
                <w:bCs w:val="false"/>
                <w:sz w:val="20"/>
              </w:rPr>
            </w:r>
          </w:p>
          <w:p>
            <w:pPr>
              <w:pStyle w:val="Subtitle"/>
              <w:numPr>
                <w:ilvl w:val="0"/>
                <w:numId w:val="10"/>
              </w:numPr>
              <w:rPr>
                <w:rFonts w:ascii="Tahoma" w:hAnsi="Tahoma" w:cs="Tahoma"/>
                <w:sz w:val="20"/>
              </w:rPr>
            </w:pPr>
            <w:r>
              <w:rPr>
                <w:rFonts w:cs="Tahoma" w:ascii="Tahoma" w:hAnsi="Tahoma"/>
                <w:b w:val="false"/>
                <w:bCs w:val="false"/>
                <w:sz w:val="20"/>
              </w:rPr>
              <w:t>Relatively small staff for mine size</w:t>
            </w:r>
          </w:p>
        </w:tc>
      </w:tr>
      <w:tr>
        <w:trPr/>
        <w:tc>
          <w:tcPr>
            <w:tcW w:w="4428" w:type="dxa"/>
            <w:tcBorders/>
          </w:tcPr>
          <w:p>
            <w:pPr>
              <w:pStyle w:val="Subtitle"/>
              <w:snapToGrid w:val="false"/>
              <w:rPr>
                <w:rFonts w:ascii="Tahoma" w:hAnsi="Tahoma" w:cs="Tahoma"/>
                <w:b w:val="false"/>
                <w:bCs w:val="false"/>
                <w:sz w:val="20"/>
              </w:rPr>
            </w:pPr>
            <w:r>
              <w:rPr>
                <w:rFonts w:cs="Tahoma" w:ascii="Tahoma" w:hAnsi="Tahoma"/>
                <w:b w:val="false"/>
                <w:bCs w:val="false"/>
                <w:sz w:val="20"/>
              </w:rPr>
            </w:r>
          </w:p>
          <w:p>
            <w:pPr>
              <w:pStyle w:val="Subtitle"/>
              <w:numPr>
                <w:ilvl w:val="0"/>
                <w:numId w:val="10"/>
              </w:numPr>
              <w:rPr>
                <w:rFonts w:ascii="Tahoma" w:hAnsi="Tahoma" w:cs="Tahoma"/>
                <w:b w:val="false"/>
                <w:bCs w:val="false"/>
                <w:sz w:val="20"/>
              </w:rPr>
            </w:pPr>
            <w:r>
              <w:rPr>
                <w:rFonts w:cs="Tahoma" w:ascii="Tahoma" w:hAnsi="Tahoma"/>
                <w:b w:val="false"/>
                <w:bCs w:val="false"/>
                <w:sz w:val="20"/>
              </w:rPr>
              <w:t>Turnover/Recruiting concerns</w:t>
            </w:r>
          </w:p>
        </w:tc>
        <w:tc>
          <w:tcPr>
            <w:tcW w:w="4140" w:type="dxa"/>
            <w:tcBorders/>
          </w:tcPr>
          <w:p>
            <w:pPr>
              <w:pStyle w:val="Subtitle"/>
              <w:snapToGrid w:val="false"/>
              <w:rPr>
                <w:rFonts w:ascii="Tahoma" w:hAnsi="Tahoma" w:cs="Tahoma"/>
                <w:b w:val="false"/>
                <w:bCs w:val="false"/>
                <w:sz w:val="20"/>
              </w:rPr>
            </w:pPr>
            <w:r>
              <w:rPr>
                <w:rFonts w:cs="Tahoma" w:ascii="Tahoma" w:hAnsi="Tahoma"/>
                <w:b w:val="false"/>
                <w:bCs w:val="false"/>
                <w:sz w:val="20"/>
              </w:rPr>
            </w:r>
          </w:p>
          <w:p>
            <w:pPr>
              <w:pStyle w:val="Subtitle"/>
              <w:numPr>
                <w:ilvl w:val="0"/>
                <w:numId w:val="10"/>
              </w:numPr>
              <w:rPr>
                <w:rFonts w:ascii="Tahoma" w:hAnsi="Tahoma" w:cs="Tahoma"/>
                <w:b w:val="false"/>
                <w:bCs w:val="false"/>
                <w:sz w:val="20"/>
              </w:rPr>
            </w:pPr>
            <w:r>
              <w:rPr>
                <w:rFonts w:cs="Tahoma" w:ascii="Tahoma" w:hAnsi="Tahoma"/>
                <w:b w:val="false"/>
                <w:bCs w:val="false"/>
                <w:sz w:val="20"/>
              </w:rPr>
              <w:t>Need for retention plan</w:t>
            </w:r>
          </w:p>
        </w:tc>
      </w:tr>
      <w:tr>
        <w:trPr/>
        <w:tc>
          <w:tcPr>
            <w:tcW w:w="4428" w:type="dxa"/>
            <w:tcBorders/>
          </w:tcPr>
          <w:p>
            <w:pPr>
              <w:pStyle w:val="Subtitle"/>
              <w:snapToGrid w:val="false"/>
              <w:rPr>
                <w:rFonts w:ascii="Tahoma" w:hAnsi="Tahoma" w:cs="Tahoma"/>
                <w:b w:val="false"/>
                <w:bCs w:val="false"/>
                <w:sz w:val="20"/>
              </w:rPr>
            </w:pPr>
            <w:r>
              <w:rPr>
                <w:rFonts w:cs="Tahoma" w:ascii="Tahoma" w:hAnsi="Tahoma"/>
                <w:b w:val="false"/>
                <w:bCs w:val="false"/>
                <w:sz w:val="20"/>
              </w:rPr>
            </w:r>
          </w:p>
          <w:p>
            <w:pPr>
              <w:pStyle w:val="Subtitle"/>
              <w:numPr>
                <w:ilvl w:val="0"/>
                <w:numId w:val="10"/>
              </w:numPr>
              <w:rPr>
                <w:rFonts w:ascii="Tahoma" w:hAnsi="Tahoma" w:cs="Tahoma"/>
                <w:b w:val="false"/>
                <w:bCs w:val="false"/>
                <w:sz w:val="20"/>
              </w:rPr>
            </w:pPr>
            <w:r>
              <w:rPr>
                <w:rFonts w:cs="Tahoma" w:ascii="Tahoma" w:hAnsi="Tahoma"/>
                <w:b w:val="false"/>
                <w:bCs w:val="false"/>
                <w:sz w:val="20"/>
              </w:rPr>
              <w:t>Teamwork dependent culture</w:t>
            </w:r>
          </w:p>
        </w:tc>
        <w:tc>
          <w:tcPr>
            <w:tcW w:w="4140" w:type="dxa"/>
            <w:tcBorders/>
          </w:tcPr>
          <w:p>
            <w:pPr>
              <w:pStyle w:val="Subtitle"/>
              <w:snapToGrid w:val="false"/>
              <w:rPr>
                <w:rFonts w:ascii="Tahoma" w:hAnsi="Tahoma" w:cs="Tahoma"/>
                <w:b w:val="false"/>
                <w:bCs w:val="false"/>
                <w:sz w:val="20"/>
              </w:rPr>
            </w:pPr>
            <w:r>
              <w:rPr>
                <w:rFonts w:cs="Tahoma" w:ascii="Tahoma" w:hAnsi="Tahoma"/>
                <w:b w:val="false"/>
                <w:bCs w:val="false"/>
                <w:sz w:val="20"/>
              </w:rPr>
            </w:r>
          </w:p>
          <w:p>
            <w:pPr>
              <w:pStyle w:val="Subtitle"/>
              <w:numPr>
                <w:ilvl w:val="0"/>
                <w:numId w:val="10"/>
              </w:numPr>
              <w:rPr>
                <w:rFonts w:ascii="Tahoma" w:hAnsi="Tahoma" w:cs="Tahoma"/>
                <w:b w:val="false"/>
                <w:bCs w:val="false"/>
                <w:sz w:val="20"/>
              </w:rPr>
            </w:pPr>
            <w:r>
              <w:rPr>
                <w:rFonts w:cs="Tahoma" w:ascii="Tahoma" w:hAnsi="Tahoma"/>
                <w:b w:val="false"/>
                <w:bCs w:val="false"/>
                <w:sz w:val="20"/>
              </w:rPr>
              <w:t>High Worker/Admin ratio</w:t>
            </w:r>
          </w:p>
        </w:tc>
      </w:tr>
    </w:tbl>
    <w:p>
      <w:pPr>
        <w:pStyle w:val="Subtitle"/>
        <w:rPr>
          <w:rFonts w:ascii="Tahoma" w:hAnsi="Tahoma" w:cs="Tahoma"/>
        </w:rPr>
      </w:pPr>
      <w:r>
        <w:rPr>
          <w:rFonts w:cs="Tahoma" w:ascii="Tahoma" w:hAnsi="Tahoma"/>
        </w:rPr>
      </w:r>
    </w:p>
    <w:p>
      <w:pPr>
        <w:pStyle w:val="Heading1"/>
        <w:ind w:hanging="0" w:start="0"/>
        <w:jc w:val="start"/>
        <w:rPr>
          <w:rFonts w:ascii="Tahoma" w:hAnsi="Tahoma" w:cs="Tahoma"/>
        </w:rPr>
      </w:pPr>
      <w:r>
        <w:rPr>
          <w:rFonts w:cs="Tahoma" w:ascii="Tahoma" w:hAnsi="Tahoma"/>
        </w:rPr>
      </w:r>
    </w:p>
    <w:p>
      <w:pPr>
        <w:pStyle w:val="Heading1"/>
        <w:ind w:hanging="0" w:start="0"/>
        <w:rPr>
          <w:rFonts w:ascii="Tahoma" w:hAnsi="Tahoma" w:cs="Tahoma"/>
          <w:sz w:val="20"/>
          <w:lang w:val="en-CA" w:eastAsia="en-CA"/>
        </w:rPr>
      </w:pPr>
      <w:r>
        <w:rPr>
          <w:rFonts w:cs="Tahoma" w:ascii="Tahoma" w:hAnsi="Tahoma"/>
          <w:sz w:val="20"/>
          <w:lang w:val="en-CA" w:eastAsia="en-CA"/>
        </w:rPr>
      </w:r>
      <w:r>
        <mc:AlternateContent>
          <mc:Choice Requires="wps">
            <w:drawing>
              <wp:anchor behindDoc="0" distT="0" distB="0" distL="114935" distR="114935" simplePos="0" locked="0" layoutInCell="1" allowOverlap="1" relativeHeight="3">
                <wp:simplePos x="0" y="0"/>
                <wp:positionH relativeFrom="column">
                  <wp:posOffset>337185</wp:posOffset>
                </wp:positionH>
                <wp:positionV relativeFrom="paragraph">
                  <wp:posOffset>-5080</wp:posOffset>
                </wp:positionV>
                <wp:extent cx="5612130" cy="2231390"/>
                <wp:effectExtent l="0" t="0" r="0" b="0"/>
                <wp:wrapNone/>
                <wp:docPr id="2" name="Frame1"/>
                <a:graphic xmlns:a="http://schemas.openxmlformats.org/drawingml/2006/main">
                  <a:graphicData uri="http://schemas.microsoft.com/office/word/2010/wordprocessingShape">
                    <wps:wsp>
                      <wps:cNvSpPr txBox="1"/>
                      <wps:spPr>
                        <a:xfrm>
                          <a:off x="0" y="0"/>
                          <a:ext cx="5612130" cy="2231390"/>
                        </a:xfrm>
                        <a:prstGeom prst="rect"/>
                        <a:solidFill>
                          <a:srgbClr val="FFFFFF"/>
                        </a:solidFill>
                        <a:ln w="38100">
                          <a:solidFill>
                            <a:srgbClr val="000000"/>
                          </a:solidFill>
                        </a:ln>
                      </wps:spPr>
                      <wps:txbx>
                        <w:txbxContent>
                          <w:p>
                            <w:pPr>
                              <w:pStyle w:val="Heading2"/>
                              <w:ind w:hanging="0" w:start="0"/>
                              <w:rPr>
                                <w:rFonts w:ascii="Castellar" w:hAnsi="Castellar" w:cs="Castellar"/>
                                <w:sz w:val="20"/>
                              </w:rPr>
                            </w:pPr>
                            <w:r>
                              <w:rPr>
                                <w:rFonts w:cs="Castellar" w:ascii="Castellar" w:hAnsi="Castellar"/>
                                <w:sz w:val="20"/>
                              </w:rPr>
                              <w:t>OBSERVATIONS / Recommendations</w:t>
                            </w:r>
                          </w:p>
                          <w:p>
                            <w:pPr>
                              <w:pStyle w:val="BodyText2"/>
                              <w:autoSpaceDE w:val="true"/>
                              <w:ind w:firstLine="360" w:end="0"/>
                              <w:jc w:val="both"/>
                              <w:rPr>
                                <w:rFonts w:ascii="Tahoma" w:hAnsi="Tahoma" w:cs="Tahoma"/>
                              </w:rPr>
                            </w:pPr>
                            <w:r>
                              <w:rPr>
                                <w:rFonts w:cs="Tahoma" w:ascii="Tahoma" w:hAnsi="Tahoma"/>
                              </w:rPr>
                              <w:t xml:space="preserve">Shanna Funkhouser provided positive comments from her site visit about the general “feel” of the mine.  The mine appears to be well respected in the local community.  As the two mines are relatively new, until recently there has been little difficulty in recruiting.  She indicated the mine was capital-intensive and was surprised by the relatively few number of employees.  A “positive” culture exists in the mine.  Although very different from the corporate mindset, the aim of the mine was to maximize production and therefore profits.  Shanna did not report any significant problems.  However, an expectation exists among the miners that wages will increase with any acquisition by a new company based on below average salaries as reported in PBR compensation study.  </w:t>
                            </w:r>
                          </w:p>
                          <w:p>
                            <w:pPr>
                              <w:pStyle w:val="BodyText2"/>
                              <w:autoSpaceDE w:val="true"/>
                              <w:ind w:firstLine="360" w:end="0"/>
                              <w:jc w:val="both"/>
                              <w:rPr>
                                <w:rFonts w:ascii="Tahoma" w:hAnsi="Tahoma" w:cs="Tahoma"/>
                              </w:rPr>
                            </w:pPr>
                            <w:r>
                              <w:rPr>
                                <w:rFonts w:cs="Tahoma" w:ascii="Tahoma" w:hAnsi="Tahoma"/>
                              </w:rPr>
                              <w:t>Following a complete mine tour and conversations with mine staff, Shanna indicated there appeared to be no “obvious” HR issues.  However, she also reiterated the need for more data be provided in a final due diligence.</w:t>
                            </w:r>
                          </w:p>
                          <w:p>
                            <w:pPr>
                              <w:pStyle w:val="BodyText2"/>
                              <w:autoSpaceDE w:val="true"/>
                              <w:jc w:val="both"/>
                              <w:rPr>
                                <w:rFonts w:ascii="Tahoma" w:hAnsi="Tahoma" w:cs="Tahoma"/>
                              </w:rPr>
                            </w:pPr>
                            <w:r>
                              <w:rPr>
                                <w:rFonts w:cs="Tahoma" w:ascii="Tahoma" w:hAnsi="Tahoma"/>
                              </w:rPr>
                            </w:r>
                          </w:p>
                          <w:p>
                            <w:pPr>
                              <w:pStyle w:val="Normal"/>
                              <w:ind w:end="0"/>
                              <w:rPr>
                                <w:rFonts w:ascii="Tahoma" w:hAnsi="Tahoma" w:cs="Tahoma"/>
                              </w:rPr>
                            </w:pPr>
                            <w:r>
                              <w:rPr>
                                <w:rFonts w:cs="Tahoma" w:ascii="Tahoma" w:hAnsi="Tahoma"/>
                              </w:rPr>
                            </w:r>
                          </w:p>
                        </w:txbxContent>
                      </wps:txbx>
                      <wps:bodyPr anchor="t" lIns="68580" tIns="22860" rIns="68580" bIns="22860">
                        <a:noAutofit/>
                      </wps:bodyPr>
                    </wps:wsp>
                  </a:graphicData>
                </a:graphic>
              </wp:anchor>
            </w:drawing>
          </mc:Choice>
          <mc:Fallback>
            <w:pict>
              <v:rect fillcolor="#FFFFFF" strokecolor="#000000" strokeweight="3pt" style="position:absolute;rotation:-0;width:441.9pt;height:175.7pt;mso-wrap-distance-left:9.05pt;mso-wrap-distance-right:9.05pt;mso-wrap-distance-top:0pt;mso-wrap-distance-bottom:0pt;margin-top:-0.4pt;mso-position-vertical-relative:text;margin-left:26.55pt;mso-position-horizontal-relative:text">
                <v:textbox inset="0.075in,0.025in,0.075in,0.025in">
                  <w:txbxContent>
                    <w:p>
                      <w:pPr>
                        <w:pStyle w:val="Heading2"/>
                        <w:ind w:hanging="0" w:start="0"/>
                        <w:rPr>
                          <w:rFonts w:ascii="Castellar" w:hAnsi="Castellar" w:cs="Castellar"/>
                          <w:sz w:val="20"/>
                        </w:rPr>
                      </w:pPr>
                      <w:r>
                        <w:rPr>
                          <w:rFonts w:cs="Castellar" w:ascii="Castellar" w:hAnsi="Castellar"/>
                          <w:sz w:val="20"/>
                        </w:rPr>
                        <w:t>OBSERVATIONS / Recommendations</w:t>
                      </w:r>
                    </w:p>
                    <w:p>
                      <w:pPr>
                        <w:pStyle w:val="BodyText2"/>
                        <w:autoSpaceDE w:val="true"/>
                        <w:ind w:firstLine="360" w:end="0"/>
                        <w:jc w:val="both"/>
                        <w:rPr>
                          <w:rFonts w:ascii="Tahoma" w:hAnsi="Tahoma" w:cs="Tahoma"/>
                        </w:rPr>
                      </w:pPr>
                      <w:r>
                        <w:rPr>
                          <w:rFonts w:cs="Tahoma" w:ascii="Tahoma" w:hAnsi="Tahoma"/>
                        </w:rPr>
                        <w:t xml:space="preserve">Shanna Funkhouser provided positive comments from her site visit about the general “feel” of the mine.  The mine appears to be well respected in the local community.  As the two mines are relatively new, until recently there has been little difficulty in recruiting.  She indicated the mine was capital-intensive and was surprised by the relatively few number of employees.  A “positive” culture exists in the mine.  Although very different from the corporate mindset, the aim of the mine was to maximize production and therefore profits.  Shanna did not report any significant problems.  However, an expectation exists among the miners that wages will increase with any acquisition by a new company based on below average salaries as reported in PBR compensation study.  </w:t>
                      </w:r>
                    </w:p>
                    <w:p>
                      <w:pPr>
                        <w:pStyle w:val="BodyText2"/>
                        <w:autoSpaceDE w:val="true"/>
                        <w:ind w:firstLine="360" w:end="0"/>
                        <w:jc w:val="both"/>
                        <w:rPr>
                          <w:rFonts w:ascii="Tahoma" w:hAnsi="Tahoma" w:cs="Tahoma"/>
                        </w:rPr>
                      </w:pPr>
                      <w:r>
                        <w:rPr>
                          <w:rFonts w:cs="Tahoma" w:ascii="Tahoma" w:hAnsi="Tahoma"/>
                        </w:rPr>
                        <w:t>Following a complete mine tour and conversations with mine staff, Shanna indicated there appeared to be no “obvious” HR issues.  However, she also reiterated the need for more data be provided in a final due diligence.</w:t>
                      </w:r>
                    </w:p>
                    <w:p>
                      <w:pPr>
                        <w:pStyle w:val="BodyText2"/>
                        <w:autoSpaceDE w:val="true"/>
                        <w:jc w:val="both"/>
                        <w:rPr>
                          <w:rFonts w:ascii="Tahoma" w:hAnsi="Tahoma" w:cs="Tahoma"/>
                        </w:rPr>
                      </w:pPr>
                      <w:r>
                        <w:rPr>
                          <w:rFonts w:cs="Tahoma" w:ascii="Tahoma" w:hAnsi="Tahoma"/>
                        </w:rPr>
                      </w:r>
                    </w:p>
                    <w:p>
                      <w:pPr>
                        <w:pStyle w:val="Normal"/>
                        <w:ind w:end="0"/>
                        <w:rPr>
                          <w:rFonts w:ascii="Tahoma" w:hAnsi="Tahoma" w:cs="Tahoma"/>
                        </w:rPr>
                      </w:pPr>
                      <w:r>
                        <w:rPr>
                          <w:rFonts w:cs="Tahoma" w:ascii="Tahoma" w:hAnsi="Tahoma"/>
                        </w:rPr>
                      </w:r>
                    </w:p>
                  </w:txbxContent>
                </v:textbox>
                <w10:wrap type="none"/>
              </v:rect>
            </w:pict>
          </mc:Fallback>
        </mc:AlternateContent>
      </w:r>
    </w:p>
    <w:p>
      <w:pPr>
        <w:pStyle w:val="Heading1"/>
        <w:ind w:hanging="0" w:start="0"/>
        <w:rPr>
          <w:rFonts w:ascii="Tahoma" w:hAnsi="Tahoma" w:cs="Tahoma"/>
        </w:rPr>
      </w:pPr>
      <w:r>
        <w:rPr>
          <w:rFonts w:cs="Tahoma" w:ascii="Tahoma" w:hAnsi="Tahoma"/>
        </w:rPr>
      </w:r>
    </w:p>
    <w:p>
      <w:pPr>
        <w:pStyle w:val="Heading1"/>
        <w:ind w:hanging="0" w:start="0"/>
        <w:rPr>
          <w:rFonts w:ascii="Tahoma" w:hAnsi="Tahoma" w:cs="Tahoma"/>
        </w:rPr>
      </w:pPr>
      <w:r>
        <w:rPr>
          <w:rFonts w:cs="Tahoma" w:ascii="Tahoma" w:hAnsi="Tahoma"/>
        </w:rPr>
      </w:r>
    </w:p>
    <w:p>
      <w:pPr>
        <w:pStyle w:val="Heading1"/>
        <w:ind w:hanging="0" w:start="0"/>
        <w:rPr>
          <w:rFonts w:ascii="Tahoma" w:hAnsi="Tahoma" w:cs="Tahoma"/>
        </w:rPr>
      </w:pPr>
      <w:r>
        <w:rPr>
          <w:rFonts w:cs="Tahoma" w:ascii="Tahoma" w:hAnsi="Tahoma"/>
        </w:rPr>
      </w:r>
    </w:p>
    <w:p>
      <w:pPr>
        <w:pStyle w:val="Heading1"/>
        <w:ind w:hanging="0" w:start="0"/>
        <w:rPr>
          <w:rFonts w:ascii="Tahoma" w:hAnsi="Tahoma" w:cs="Tahoma"/>
        </w:rPr>
      </w:pPr>
      <w:r>
        <w:rPr>
          <w:rFonts w:cs="Tahoma" w:ascii="Tahoma" w:hAnsi="Tahoma"/>
        </w:rPr>
      </w:r>
    </w:p>
    <w:p>
      <w:pPr>
        <w:pStyle w:val="Heading1"/>
        <w:ind w:hanging="0" w:start="0"/>
        <w:rPr>
          <w:rFonts w:ascii="Tahoma" w:hAnsi="Tahoma" w:cs="Tahoma"/>
        </w:rPr>
      </w:pPr>
      <w:r>
        <w:rPr>
          <w:rFonts w:cs="Tahoma" w:ascii="Tahoma" w:hAnsi="Tahoma"/>
        </w:rPr>
      </w:r>
    </w:p>
    <w:p>
      <w:pPr>
        <w:pStyle w:val="Heading1"/>
        <w:ind w:hanging="0" w:start="0"/>
        <w:rPr>
          <w:rFonts w:ascii="Tahoma" w:hAnsi="Tahoma" w:cs="Tahoma"/>
        </w:rPr>
      </w:pPr>
      <w:r>
        <w:rPr>
          <w:rFonts w:cs="Tahoma" w:ascii="Tahoma" w:hAnsi="Tahoma"/>
        </w:rPr>
      </w:r>
    </w:p>
    <w:p>
      <w:pPr>
        <w:pStyle w:val="Heading1"/>
        <w:ind w:hanging="0" w:start="0"/>
        <w:rPr>
          <w:rFonts w:ascii="Tahoma" w:hAnsi="Tahoma" w:cs="Tahoma"/>
        </w:rPr>
      </w:pPr>
      <w:r>
        <w:rPr>
          <w:rFonts w:cs="Tahoma" w:ascii="Tahoma" w:hAnsi="Tahoma"/>
        </w:rPr>
      </w:r>
    </w:p>
    <w:p>
      <w:pPr>
        <w:pStyle w:val="Heading1"/>
        <w:ind w:hanging="0" w:start="0"/>
        <w:rPr>
          <w:rFonts w:ascii="Tahoma" w:hAnsi="Tahoma" w:cs="Tahoma"/>
        </w:rPr>
      </w:pPr>
      <w:r>
        <w:rPr>
          <w:rFonts w:cs="Tahoma" w:ascii="Tahoma" w:hAnsi="Tahoma"/>
        </w:rPr>
      </w:r>
    </w:p>
    <w:p>
      <w:pPr>
        <w:pStyle w:val="Heading1"/>
        <w:ind w:hanging="0" w:start="0"/>
        <w:rPr>
          <w:rFonts w:ascii="Tahoma" w:hAnsi="Tahoma" w:cs="Tahoma"/>
        </w:rPr>
      </w:pPr>
      <w:r>
        <w:rPr>
          <w:rFonts w:cs="Tahoma" w:ascii="Tahoma" w:hAnsi="Tahoma"/>
        </w:rPr>
      </w:r>
    </w:p>
    <w:p>
      <w:pPr>
        <w:pStyle w:val="Heading1"/>
        <w:ind w:hanging="0" w:start="0"/>
        <w:jc w:val="start"/>
        <w:rPr>
          <w:rFonts w:ascii="Tahoma" w:hAnsi="Tahoma" w:cs="Tahoma"/>
        </w:rPr>
      </w:pPr>
      <w:r>
        <w:rPr>
          <w:rFonts w:cs="Tahoma" w:ascii="Tahoma" w:hAnsi="Tahoma"/>
        </w:rPr>
      </w:r>
    </w:p>
    <w:p>
      <w:pPr>
        <w:pStyle w:val="Heading1"/>
        <w:ind w:hanging="0" w:start="0"/>
        <w:jc w:val="start"/>
        <w:rPr/>
      </w:pPr>
      <w:r>
        <w:rPr/>
      </w:r>
    </w:p>
    <w:p>
      <w:pPr>
        <w:pStyle w:val="Heading1"/>
        <w:ind w:hanging="0" w:start="0"/>
        <w:jc w:val="start"/>
        <w:rPr/>
      </w:pPr>
      <w:r>
        <w:rPr/>
      </w:r>
    </w:p>
    <w:p>
      <w:pPr>
        <w:pStyle w:val="Heading1"/>
        <w:ind w:hanging="0" w:start="0"/>
        <w:jc w:val="start"/>
        <w:rPr/>
      </w:pPr>
      <w:r>
        <w:rPr/>
      </w:r>
    </w:p>
    <w:p>
      <w:pPr>
        <w:pStyle w:val="Heading1"/>
        <w:ind w:hanging="0" w:start="0"/>
        <w:jc w:val="start"/>
        <w:rPr/>
      </w:pPr>
      <w:r>
        <w:rPr/>
        <w:t>Training</w:t>
      </w:r>
    </w:p>
    <w:p>
      <w:pPr>
        <w:pStyle w:val="Normal"/>
        <w:rPr/>
      </w:pPr>
      <w:r>
        <w:rPr/>
      </w:r>
    </w:p>
    <w:p>
      <w:pPr>
        <w:pStyle w:val="Heading5"/>
        <w:rPr>
          <w:rFonts w:cs="Times New Roman"/>
        </w:rPr>
      </w:pPr>
      <w:r>
        <w:rPr>
          <w:rFonts w:cs="Times New Roman"/>
        </w:rPr>
        <w:t>Feedback</w:t>
      </w:r>
    </w:p>
    <w:p>
      <w:pPr>
        <w:pStyle w:val="Normal"/>
        <w:rPr>
          <w:rFonts w:cs="Times New Roman"/>
        </w:rPr>
      </w:pPr>
      <w:r>
        <w:rPr>
          <w:rFonts w:cs="Times New Roman"/>
        </w:rPr>
      </w:r>
    </w:p>
    <w:p>
      <w:pPr>
        <w:pStyle w:val="Normal"/>
        <w:rPr/>
      </w:pPr>
      <w:r>
        <w:rPr/>
      </w:r>
    </w:p>
    <w:tbl>
      <w:tblPr>
        <w:tblW w:w="8748" w:type="dxa"/>
        <w:jc w:val="start"/>
        <w:tblInd w:w="720" w:type="dxa"/>
        <w:tblLayout w:type="fixed"/>
        <w:tblCellMar>
          <w:top w:w="0" w:type="dxa"/>
          <w:start w:w="108" w:type="dxa"/>
          <w:bottom w:w="0" w:type="dxa"/>
          <w:end w:w="108" w:type="dxa"/>
        </w:tblCellMar>
      </w:tblPr>
      <w:tblGrid>
        <w:gridCol w:w="4438"/>
        <w:gridCol w:w="4310"/>
      </w:tblGrid>
      <w:tr>
        <w:trPr/>
        <w:tc>
          <w:tcPr>
            <w:tcW w:w="4438" w:type="dxa"/>
            <w:tcBorders/>
          </w:tcPr>
          <w:p>
            <w:pPr>
              <w:pStyle w:val="Normal"/>
              <w:numPr>
                <w:ilvl w:val="0"/>
                <w:numId w:val="3"/>
              </w:numPr>
              <w:rPr>
                <w:rFonts w:ascii="Tahoma" w:hAnsi="Tahoma" w:cs="Tahoma"/>
                <w:sz w:val="20"/>
              </w:rPr>
            </w:pPr>
            <w:r>
              <w:rPr>
                <w:rFonts w:cs="Tahoma" w:ascii="Tahoma" w:hAnsi="Tahoma"/>
                <w:sz w:val="20"/>
              </w:rPr>
              <w:t>Hazard Recognition Training</w:t>
            </w:r>
          </w:p>
        </w:tc>
        <w:tc>
          <w:tcPr>
            <w:tcW w:w="4310" w:type="dxa"/>
            <w:tcBorders/>
          </w:tcPr>
          <w:p>
            <w:pPr>
              <w:pStyle w:val="Normal"/>
              <w:numPr>
                <w:ilvl w:val="0"/>
                <w:numId w:val="3"/>
              </w:numPr>
              <w:rPr>
                <w:rFonts w:ascii="Tahoma" w:hAnsi="Tahoma" w:cs="Tahoma"/>
                <w:sz w:val="20"/>
              </w:rPr>
            </w:pPr>
            <w:r>
              <w:rPr>
                <w:rFonts w:cs="Tahoma" w:ascii="Tahoma" w:hAnsi="Tahoma"/>
                <w:sz w:val="20"/>
              </w:rPr>
              <w:t>On the job skill training (documented and tracked)</w:t>
            </w:r>
          </w:p>
        </w:tc>
      </w:tr>
      <w:tr>
        <w:trPr/>
        <w:tc>
          <w:tcPr>
            <w:tcW w:w="4438" w:type="dxa"/>
            <w:tcBorders/>
          </w:tcPr>
          <w:p>
            <w:pPr>
              <w:pStyle w:val="Normal"/>
              <w:numPr>
                <w:ilvl w:val="0"/>
                <w:numId w:val="3"/>
              </w:numPr>
              <w:rPr>
                <w:rFonts w:ascii="Tahoma" w:hAnsi="Tahoma" w:cs="Tahoma"/>
                <w:sz w:val="20"/>
              </w:rPr>
            </w:pPr>
            <w:r>
              <w:rPr>
                <w:rFonts w:cs="Tahoma" w:ascii="Tahoma" w:hAnsi="Tahoma"/>
                <w:sz w:val="20"/>
              </w:rPr>
              <w:t>MSHA Hazard Training</w:t>
            </w:r>
          </w:p>
        </w:tc>
        <w:tc>
          <w:tcPr>
            <w:tcW w:w="4310" w:type="dxa"/>
            <w:tcBorders/>
            <w:tcMar>
              <w:start w:w="0" w:type="dxa"/>
              <w:end w:w="0" w:type="dxa"/>
            </w:tcMar>
          </w:tcPr>
          <w:p>
            <w:pPr>
              <w:pStyle w:val="Normal"/>
              <w:snapToGrid w:val="false"/>
              <w:rPr>
                <w:rFonts w:ascii="Tahoma" w:hAnsi="Tahoma" w:cs="Tahoma"/>
                <w:sz w:val="20"/>
              </w:rPr>
            </w:pPr>
            <w:r>
              <w:rPr>
                <w:rFonts w:cs="Tahoma" w:ascii="Tahoma" w:hAnsi="Tahoma"/>
                <w:sz w:val="20"/>
              </w:rPr>
            </w:r>
          </w:p>
        </w:tc>
      </w:tr>
    </w:tbl>
    <w:p>
      <w:pPr>
        <w:pStyle w:val="Normal"/>
        <w:rPr>
          <w:rFonts w:ascii="Tahoma" w:hAnsi="Tahoma" w:cs="Tahoma"/>
          <w:sz w:val="20"/>
        </w:rPr>
      </w:pPr>
      <w:r>
        <w:rPr>
          <w:rFonts w:cs="Tahoma" w:ascii="Tahoma" w:hAnsi="Tahoma"/>
          <w:sz w:val="20"/>
        </w:rPr>
      </w:r>
    </w:p>
    <w:p>
      <w:pPr>
        <w:pStyle w:val="Heading2"/>
        <w:ind w:hanging="0" w:start="360" w:end="0"/>
        <w:rPr>
          <w:rFonts w:ascii="Castellar" w:hAnsi="Castellar" w:cs="Castellar"/>
          <w:sz w:val="20"/>
        </w:rPr>
      </w:pPr>
      <w:r>
        <w:rPr>
          <w:rFonts w:cs="Castellar" w:ascii="Castellar" w:hAnsi="Castellar"/>
          <w:sz w:val="20"/>
        </w:rPr>
        <w:t>To be provided in final due diligence:</w:t>
      </w:r>
    </w:p>
    <w:p>
      <w:pPr>
        <w:pStyle w:val="Normal"/>
        <w:rPr>
          <w:rFonts w:ascii="Castellar" w:hAnsi="Castellar" w:cs="Castellar"/>
          <w:sz w:val="20"/>
        </w:rPr>
      </w:pPr>
      <w:r>
        <w:rPr>
          <w:rFonts w:cs="Castellar" w:ascii="Castellar" w:hAnsi="Castellar"/>
          <w:sz w:val="20"/>
        </w:rPr>
      </w:r>
    </w:p>
    <w:p>
      <w:pPr>
        <w:pStyle w:val="Normal"/>
        <w:numPr>
          <w:ilvl w:val="0"/>
          <w:numId w:val="15"/>
        </w:numPr>
        <w:rPr>
          <w:rFonts w:ascii="Tahoma" w:hAnsi="Tahoma" w:cs="Tahoma"/>
        </w:rPr>
      </w:pPr>
      <w:r>
        <w:rPr>
          <w:rFonts w:cs="Tahoma" w:ascii="Tahoma" w:hAnsi="Tahoma"/>
          <w:sz w:val="20"/>
        </w:rPr>
        <w:t>Employee Handbook will be provided.  This should detail any training programs that are in place for the employees</w:t>
      </w:r>
    </w:p>
    <w:p>
      <w:pPr>
        <w:pStyle w:val="Normal"/>
        <w:rPr>
          <w:rFonts w:ascii="Tahoma" w:hAnsi="Tahoma" w:eastAsia="Tahoma" w:cs="Tahoma"/>
        </w:rPr>
      </w:pPr>
      <w:r>
        <w:rPr>
          <w:rFonts w:eastAsia="Tahoma" w:cs="Tahoma" w:ascii="Tahoma" w:hAnsi="Tahoma"/>
        </w:rPr>
        <w:t xml:space="preserve"> </w:t>
      </w:r>
      <w:r>
        <mc:AlternateContent>
          <mc:Choice Requires="wps">
            <w:drawing>
              <wp:anchor behindDoc="0" distT="0" distB="0" distL="114935" distR="114935" simplePos="0" locked="0" layoutInCell="1" allowOverlap="1" relativeHeight="5">
                <wp:simplePos x="0" y="0"/>
                <wp:positionH relativeFrom="column">
                  <wp:posOffset>337185</wp:posOffset>
                </wp:positionH>
                <wp:positionV relativeFrom="paragraph">
                  <wp:posOffset>123825</wp:posOffset>
                </wp:positionV>
                <wp:extent cx="5612130" cy="1154430"/>
                <wp:effectExtent l="0" t="0" r="0" b="0"/>
                <wp:wrapNone/>
                <wp:docPr id="3" name="Frame2"/>
                <a:graphic xmlns:a="http://schemas.openxmlformats.org/drawingml/2006/main">
                  <a:graphicData uri="http://schemas.microsoft.com/office/word/2010/wordprocessingShape">
                    <wps:wsp>
                      <wps:cNvSpPr txBox="1"/>
                      <wps:spPr>
                        <a:xfrm>
                          <a:off x="0" y="0"/>
                          <a:ext cx="5612130" cy="1154430"/>
                        </a:xfrm>
                        <a:prstGeom prst="rect"/>
                        <a:solidFill>
                          <a:srgbClr val="FFFFFF"/>
                        </a:solidFill>
                        <a:ln w="38100">
                          <a:solidFill>
                            <a:srgbClr val="000000"/>
                          </a:solidFill>
                        </a:ln>
                      </wps:spPr>
                      <wps:txbx>
                        <w:txbxContent>
                          <w:p>
                            <w:pPr>
                              <w:pStyle w:val="Heading2"/>
                              <w:ind w:hanging="0" w:start="0"/>
                              <w:rPr>
                                <w:rFonts w:ascii="Castellar" w:hAnsi="Castellar" w:cs="Castellar"/>
                                <w:sz w:val="20"/>
                              </w:rPr>
                            </w:pPr>
                            <w:r>
                              <w:rPr>
                                <w:rFonts w:cs="Castellar" w:ascii="Castellar" w:hAnsi="Castellar"/>
                                <w:sz w:val="20"/>
                              </w:rPr>
                              <w:t>OBSERVATIONS / Recommendations</w:t>
                            </w:r>
                          </w:p>
                          <w:p>
                            <w:pPr>
                              <w:pStyle w:val="BodyText2"/>
                              <w:autoSpaceDE w:val="true"/>
                              <w:jc w:val="both"/>
                              <w:rPr>
                                <w:rFonts w:ascii="Tahoma" w:hAnsi="Tahoma" w:cs="Tahoma"/>
                              </w:rPr>
                            </w:pPr>
                            <w:r>
                              <w:rPr>
                                <w:rFonts w:cs="Tahoma" w:ascii="Tahoma" w:hAnsi="Tahoma"/>
                              </w:rPr>
                              <w:t>Records of employee training related to safety and equipment will need to be provided before any sale is made.  It seems that little “classroom” training exists but a great deal of on the job training is provided by more experienced personnel.  As the structure of the deal becomes clearer, more due diligence will be needed to determine if the mines are in full compliance with MSHA regulations.</w:t>
                            </w:r>
                          </w:p>
                          <w:p>
                            <w:pPr>
                              <w:pStyle w:val="Normal"/>
                              <w:ind w:end="0"/>
                              <w:rPr>
                                <w:rFonts w:ascii="Tahoma" w:hAnsi="Tahoma" w:cs="Tahoma"/>
                              </w:rPr>
                            </w:pPr>
                            <w:r>
                              <w:rPr>
                                <w:rFonts w:cs="Tahoma" w:ascii="Tahoma" w:hAnsi="Tahoma"/>
                              </w:rPr>
                            </w:r>
                          </w:p>
                        </w:txbxContent>
                      </wps:txbx>
                      <wps:bodyPr anchor="t" lIns="68580" tIns="22860" rIns="68580" bIns="22860">
                        <a:noAutofit/>
                      </wps:bodyPr>
                    </wps:wsp>
                  </a:graphicData>
                </a:graphic>
              </wp:anchor>
            </w:drawing>
          </mc:Choice>
          <mc:Fallback>
            <w:pict>
              <v:rect fillcolor="#FFFFFF" strokecolor="#000000" strokeweight="3pt" style="position:absolute;rotation:-0;width:441.9pt;height:90.9pt;mso-wrap-distance-left:9.05pt;mso-wrap-distance-right:9.05pt;mso-wrap-distance-top:0pt;mso-wrap-distance-bottom:0pt;margin-top:9.75pt;mso-position-vertical-relative:text;margin-left:26.55pt;mso-position-horizontal-relative:text">
                <v:textbox inset="0.075in,0.025in,0.075in,0.025in">
                  <w:txbxContent>
                    <w:p>
                      <w:pPr>
                        <w:pStyle w:val="Heading2"/>
                        <w:ind w:hanging="0" w:start="0"/>
                        <w:rPr>
                          <w:rFonts w:ascii="Castellar" w:hAnsi="Castellar" w:cs="Castellar"/>
                          <w:sz w:val="20"/>
                        </w:rPr>
                      </w:pPr>
                      <w:r>
                        <w:rPr>
                          <w:rFonts w:cs="Castellar" w:ascii="Castellar" w:hAnsi="Castellar"/>
                          <w:sz w:val="20"/>
                        </w:rPr>
                        <w:t>OBSERVATIONS / Recommendations</w:t>
                      </w:r>
                    </w:p>
                    <w:p>
                      <w:pPr>
                        <w:pStyle w:val="BodyText2"/>
                        <w:autoSpaceDE w:val="true"/>
                        <w:jc w:val="both"/>
                        <w:rPr>
                          <w:rFonts w:ascii="Tahoma" w:hAnsi="Tahoma" w:cs="Tahoma"/>
                        </w:rPr>
                      </w:pPr>
                      <w:r>
                        <w:rPr>
                          <w:rFonts w:cs="Tahoma" w:ascii="Tahoma" w:hAnsi="Tahoma"/>
                        </w:rPr>
                        <w:t>Records of employee training related to safety and equipment will need to be provided before any sale is made.  It seems that little “classroom” training exists but a great deal of on the job training is provided by more experienced personnel.  As the structure of the deal becomes clearer, more due diligence will be needed to determine if the mines are in full compliance with MSHA regulations.</w:t>
                      </w:r>
                    </w:p>
                    <w:p>
                      <w:pPr>
                        <w:pStyle w:val="Normal"/>
                        <w:ind w:end="0"/>
                        <w:rPr>
                          <w:rFonts w:ascii="Tahoma" w:hAnsi="Tahoma" w:cs="Tahoma"/>
                        </w:rPr>
                      </w:pPr>
                      <w:r>
                        <w:rPr>
                          <w:rFonts w:cs="Tahoma" w:ascii="Tahoma" w:hAnsi="Tahoma"/>
                        </w:rPr>
                      </w:r>
                    </w:p>
                  </w:txbxContent>
                </v:textbox>
                <w10:wrap type="none"/>
              </v:rect>
            </w:pict>
          </mc:Fallback>
        </mc:AlternateContent>
      </w:r>
    </w:p>
    <w:p>
      <w:pPr>
        <w:pStyle w:val="Subtitle"/>
        <w:ind w:start="360" w:end="0"/>
        <w:rPr>
          <w:rFonts w:ascii="Tahoma" w:hAnsi="Tahoma" w:cs="Tahoma"/>
        </w:rPr>
      </w:pPr>
      <w:r>
        <w:rPr>
          <w:rFonts w:cs="Tahoma" w:ascii="Tahoma" w:hAnsi="Tahoma"/>
        </w:rPr>
      </w:r>
      <w:r>
        <w:br w:type="page"/>
      </w:r>
    </w:p>
    <w:p>
      <w:pPr>
        <w:pStyle w:val="Heading1"/>
        <w:ind w:hanging="0" w:start="0"/>
        <w:jc w:val="start"/>
        <w:rPr/>
      </w:pPr>
      <w:r>
        <w:rPr/>
        <w:t>Work Force</w:t>
      </w:r>
    </w:p>
    <w:p>
      <w:pPr>
        <w:pStyle w:val="Normal"/>
        <w:rPr/>
      </w:pPr>
      <w:r>
        <w:rPr/>
      </w:r>
    </w:p>
    <w:p>
      <w:pPr>
        <w:pStyle w:val="Heading5"/>
        <w:rPr>
          <w:rFonts w:cs="Times New Roman"/>
        </w:rPr>
      </w:pPr>
      <w:r>
        <w:rPr>
          <w:rFonts w:cs="Times New Roman"/>
        </w:rPr>
        <w:t>Feedback</w:t>
      </w:r>
    </w:p>
    <w:p>
      <w:pPr>
        <w:pStyle w:val="Subtitle"/>
        <w:rPr>
          <w:rFonts w:ascii="Tahoma" w:hAnsi="Tahoma" w:cs="Tahoma"/>
        </w:rPr>
      </w:pPr>
      <w:r>
        <w:rPr>
          <w:rFonts w:cs="Tahoma" w:ascii="Tahoma" w:hAnsi="Tahoma"/>
        </w:rPr>
      </w:r>
    </w:p>
    <w:tbl>
      <w:tblPr>
        <w:tblW w:w="8748" w:type="dxa"/>
        <w:jc w:val="start"/>
        <w:tblInd w:w="720" w:type="dxa"/>
        <w:tblLayout w:type="fixed"/>
        <w:tblCellMar>
          <w:top w:w="0" w:type="dxa"/>
          <w:start w:w="108" w:type="dxa"/>
          <w:bottom w:w="0" w:type="dxa"/>
          <w:end w:w="108" w:type="dxa"/>
        </w:tblCellMar>
      </w:tblPr>
      <w:tblGrid>
        <w:gridCol w:w="4428"/>
        <w:gridCol w:w="4320"/>
      </w:tblGrid>
      <w:tr>
        <w:trPr/>
        <w:tc>
          <w:tcPr>
            <w:tcW w:w="4428" w:type="dxa"/>
            <w:tcBorders/>
          </w:tcPr>
          <w:p>
            <w:pPr>
              <w:pStyle w:val="Subtitle"/>
              <w:numPr>
                <w:ilvl w:val="0"/>
                <w:numId w:val="8"/>
              </w:numPr>
              <w:jc w:val="both"/>
              <w:rPr>
                <w:rFonts w:ascii="Tahoma" w:hAnsi="Tahoma" w:cs="Tahoma"/>
                <w:b w:val="false"/>
                <w:bCs w:val="false"/>
                <w:sz w:val="20"/>
              </w:rPr>
            </w:pPr>
            <w:r>
              <w:rPr>
                <w:rFonts w:cs="Tahoma" w:ascii="Tahoma" w:hAnsi="Tahoma"/>
                <w:b w:val="false"/>
                <w:bCs w:val="false"/>
                <w:sz w:val="20"/>
              </w:rPr>
              <w:t>Predominantly local individuals</w:t>
            </w:r>
          </w:p>
        </w:tc>
        <w:tc>
          <w:tcPr>
            <w:tcW w:w="4320" w:type="dxa"/>
            <w:tcBorders/>
          </w:tcPr>
          <w:p>
            <w:pPr>
              <w:pStyle w:val="Subtitle"/>
              <w:numPr>
                <w:ilvl w:val="0"/>
                <w:numId w:val="8"/>
              </w:numPr>
              <w:jc w:val="both"/>
              <w:rPr>
                <w:rFonts w:ascii="Tahoma" w:hAnsi="Tahoma" w:cs="Tahoma"/>
                <w:b w:val="false"/>
                <w:bCs w:val="false"/>
                <w:sz w:val="20"/>
              </w:rPr>
            </w:pPr>
            <w:r>
              <w:rPr>
                <w:rFonts w:cs="Tahoma" w:ascii="Tahoma" w:hAnsi="Tahoma"/>
                <w:b w:val="false"/>
                <w:bCs w:val="false"/>
                <w:sz w:val="20"/>
              </w:rPr>
              <w:t>Self-directed workforce</w:t>
            </w:r>
          </w:p>
        </w:tc>
      </w:tr>
      <w:tr>
        <w:trPr/>
        <w:tc>
          <w:tcPr>
            <w:tcW w:w="4428" w:type="dxa"/>
            <w:tcBorders/>
          </w:tcPr>
          <w:p>
            <w:pPr>
              <w:pStyle w:val="Subtitle"/>
              <w:snapToGrid w:val="false"/>
              <w:jc w:val="both"/>
              <w:rPr>
                <w:rFonts w:ascii="Tahoma" w:hAnsi="Tahoma" w:cs="Tahoma"/>
                <w:b w:val="false"/>
                <w:bCs w:val="false"/>
                <w:sz w:val="20"/>
              </w:rPr>
            </w:pPr>
            <w:r>
              <w:rPr>
                <w:rFonts w:cs="Tahoma" w:ascii="Tahoma" w:hAnsi="Tahoma"/>
                <w:b w:val="false"/>
                <w:bCs w:val="false"/>
                <w:sz w:val="20"/>
              </w:rPr>
            </w:r>
          </w:p>
          <w:p>
            <w:pPr>
              <w:pStyle w:val="Subtitle"/>
              <w:numPr>
                <w:ilvl w:val="0"/>
                <w:numId w:val="8"/>
              </w:numPr>
              <w:jc w:val="both"/>
              <w:rPr>
                <w:rFonts w:ascii="Tahoma" w:hAnsi="Tahoma" w:cs="Tahoma"/>
                <w:b w:val="false"/>
                <w:bCs w:val="false"/>
                <w:sz w:val="20"/>
              </w:rPr>
            </w:pPr>
            <w:r>
              <w:rPr>
                <w:rFonts w:cs="Tahoma" w:ascii="Tahoma" w:hAnsi="Tahoma"/>
                <w:b w:val="false"/>
                <w:bCs w:val="false"/>
                <w:sz w:val="20"/>
              </w:rPr>
              <w:t>Historically loyal workforce (average tenure is 3-4 years)</w:t>
            </w:r>
          </w:p>
        </w:tc>
        <w:tc>
          <w:tcPr>
            <w:tcW w:w="4320" w:type="dxa"/>
            <w:tcBorders/>
          </w:tcPr>
          <w:p>
            <w:pPr>
              <w:pStyle w:val="Subtitle"/>
              <w:snapToGrid w:val="false"/>
              <w:jc w:val="both"/>
              <w:rPr>
                <w:rFonts w:ascii="Tahoma" w:hAnsi="Tahoma" w:cs="Tahoma"/>
                <w:b w:val="false"/>
                <w:bCs w:val="false"/>
                <w:sz w:val="20"/>
              </w:rPr>
            </w:pPr>
            <w:r>
              <w:rPr>
                <w:rFonts w:cs="Tahoma" w:ascii="Tahoma" w:hAnsi="Tahoma"/>
                <w:b w:val="false"/>
                <w:bCs w:val="false"/>
                <w:sz w:val="20"/>
              </w:rPr>
            </w:r>
          </w:p>
          <w:p>
            <w:pPr>
              <w:pStyle w:val="Subtitle"/>
              <w:numPr>
                <w:ilvl w:val="0"/>
                <w:numId w:val="8"/>
              </w:numPr>
              <w:jc w:val="both"/>
              <w:rPr>
                <w:rFonts w:ascii="Tahoma" w:hAnsi="Tahoma" w:cs="Tahoma"/>
                <w:b w:val="false"/>
                <w:bCs w:val="false"/>
                <w:sz w:val="20"/>
              </w:rPr>
            </w:pPr>
            <w:r>
              <w:rPr>
                <w:rFonts w:cs="Tahoma" w:ascii="Tahoma" w:hAnsi="Tahoma"/>
                <w:b w:val="false"/>
                <w:bCs w:val="false"/>
                <w:sz w:val="20"/>
              </w:rPr>
              <w:t>Minimal supervision</w:t>
            </w:r>
          </w:p>
        </w:tc>
      </w:tr>
      <w:tr>
        <w:trPr/>
        <w:tc>
          <w:tcPr>
            <w:tcW w:w="4428" w:type="dxa"/>
            <w:tcBorders/>
          </w:tcPr>
          <w:p>
            <w:pPr>
              <w:pStyle w:val="Subtitle"/>
              <w:snapToGrid w:val="false"/>
              <w:jc w:val="both"/>
              <w:rPr>
                <w:rFonts w:ascii="Tahoma" w:hAnsi="Tahoma" w:cs="Tahoma"/>
                <w:b w:val="false"/>
                <w:bCs w:val="false"/>
                <w:sz w:val="20"/>
              </w:rPr>
            </w:pPr>
            <w:r>
              <w:rPr>
                <w:rFonts w:cs="Tahoma" w:ascii="Tahoma" w:hAnsi="Tahoma"/>
                <w:b w:val="false"/>
                <w:bCs w:val="false"/>
                <w:sz w:val="20"/>
              </w:rPr>
            </w:r>
          </w:p>
          <w:p>
            <w:pPr>
              <w:pStyle w:val="Subtitle"/>
              <w:numPr>
                <w:ilvl w:val="0"/>
                <w:numId w:val="8"/>
              </w:numPr>
              <w:jc w:val="both"/>
              <w:rPr>
                <w:rFonts w:ascii="Tahoma" w:hAnsi="Tahoma" w:cs="Tahoma"/>
                <w:b w:val="false"/>
                <w:bCs w:val="false"/>
                <w:sz w:val="20"/>
              </w:rPr>
            </w:pPr>
            <w:r>
              <w:rPr>
                <w:rFonts w:cs="Tahoma" w:ascii="Tahoma" w:hAnsi="Tahoma"/>
                <w:b w:val="false"/>
                <w:bCs w:val="false"/>
                <w:sz w:val="20"/>
              </w:rPr>
              <w:t xml:space="preserve">Skill based organization of mine and warehouse </w:t>
            </w:r>
          </w:p>
        </w:tc>
        <w:tc>
          <w:tcPr>
            <w:tcW w:w="4320" w:type="dxa"/>
            <w:tcBorders/>
          </w:tcPr>
          <w:p>
            <w:pPr>
              <w:pStyle w:val="Subtitle"/>
              <w:snapToGrid w:val="false"/>
              <w:jc w:val="both"/>
              <w:rPr>
                <w:rFonts w:ascii="Tahoma" w:hAnsi="Tahoma" w:cs="Tahoma"/>
                <w:b w:val="false"/>
                <w:bCs w:val="false"/>
                <w:sz w:val="20"/>
              </w:rPr>
            </w:pPr>
            <w:r>
              <w:rPr>
                <w:rFonts w:cs="Tahoma" w:ascii="Tahoma" w:hAnsi="Tahoma"/>
                <w:b w:val="false"/>
                <w:bCs w:val="false"/>
                <w:sz w:val="20"/>
              </w:rPr>
            </w:r>
          </w:p>
          <w:p>
            <w:pPr>
              <w:pStyle w:val="Subtitle"/>
              <w:numPr>
                <w:ilvl w:val="0"/>
                <w:numId w:val="8"/>
              </w:numPr>
              <w:jc w:val="both"/>
              <w:rPr>
                <w:rFonts w:ascii="Tahoma" w:hAnsi="Tahoma" w:cs="Tahoma"/>
                <w:b w:val="false"/>
                <w:bCs w:val="false"/>
                <w:sz w:val="20"/>
              </w:rPr>
            </w:pPr>
            <w:r>
              <w:rPr>
                <w:rFonts w:cs="Tahoma" w:ascii="Tahoma" w:hAnsi="Tahoma"/>
                <w:b w:val="false"/>
                <w:bCs w:val="false"/>
                <w:sz w:val="20"/>
              </w:rPr>
              <w:t>Hiring is typically at the entry level, training on-the-job is conducted by a co-worker</w:t>
            </w:r>
          </w:p>
        </w:tc>
      </w:tr>
      <w:tr>
        <w:trPr/>
        <w:tc>
          <w:tcPr>
            <w:tcW w:w="4428" w:type="dxa"/>
            <w:tcBorders/>
          </w:tcPr>
          <w:p>
            <w:pPr>
              <w:pStyle w:val="Subtitle"/>
              <w:snapToGrid w:val="false"/>
              <w:jc w:val="both"/>
              <w:rPr>
                <w:rFonts w:ascii="Tahoma" w:hAnsi="Tahoma" w:cs="Tahoma"/>
                <w:b w:val="false"/>
                <w:bCs w:val="false"/>
                <w:sz w:val="20"/>
              </w:rPr>
            </w:pPr>
            <w:r>
              <w:rPr>
                <w:rFonts w:cs="Tahoma" w:ascii="Tahoma" w:hAnsi="Tahoma"/>
                <w:b w:val="false"/>
                <w:bCs w:val="false"/>
                <w:sz w:val="20"/>
              </w:rPr>
            </w:r>
          </w:p>
          <w:p>
            <w:pPr>
              <w:pStyle w:val="Subtitle"/>
              <w:numPr>
                <w:ilvl w:val="0"/>
                <w:numId w:val="8"/>
              </w:numPr>
              <w:jc w:val="both"/>
              <w:rPr>
                <w:rFonts w:ascii="Tahoma" w:hAnsi="Tahoma" w:cs="Tahoma"/>
                <w:b w:val="false"/>
                <w:bCs w:val="false"/>
                <w:sz w:val="20"/>
              </w:rPr>
            </w:pPr>
            <w:r>
              <w:rPr>
                <w:rFonts w:cs="Tahoma" w:ascii="Tahoma" w:hAnsi="Tahoma"/>
                <w:b w:val="false"/>
                <w:bCs w:val="false"/>
                <w:sz w:val="20"/>
              </w:rPr>
              <w:t>Clearly defined chains of command (District Office, Dept Head/Manager, Immediate Supervisor, Hourly employees</w:t>
            </w:r>
          </w:p>
        </w:tc>
        <w:tc>
          <w:tcPr>
            <w:tcW w:w="4320" w:type="dxa"/>
            <w:tcBorders/>
          </w:tcPr>
          <w:p>
            <w:pPr>
              <w:pStyle w:val="Subtitle"/>
              <w:snapToGrid w:val="false"/>
              <w:jc w:val="both"/>
              <w:rPr>
                <w:rFonts w:ascii="Tahoma" w:hAnsi="Tahoma" w:cs="Tahoma"/>
                <w:b w:val="false"/>
                <w:bCs w:val="false"/>
                <w:sz w:val="20"/>
              </w:rPr>
            </w:pPr>
            <w:r>
              <w:rPr>
                <w:rFonts w:cs="Tahoma" w:ascii="Tahoma" w:hAnsi="Tahoma"/>
                <w:b w:val="false"/>
                <w:bCs w:val="false"/>
                <w:sz w:val="20"/>
              </w:rPr>
            </w:r>
          </w:p>
          <w:p>
            <w:pPr>
              <w:pStyle w:val="Subtitle"/>
              <w:keepLines/>
              <w:numPr>
                <w:ilvl w:val="0"/>
                <w:numId w:val="8"/>
              </w:numPr>
              <w:ind w:hanging="0" w:start="360" w:end="0"/>
              <w:jc w:val="both"/>
              <w:rPr>
                <w:rFonts w:ascii="Tahoma" w:hAnsi="Tahoma" w:cs="Tahoma"/>
                <w:b w:val="false"/>
                <w:bCs w:val="false"/>
                <w:sz w:val="20"/>
              </w:rPr>
            </w:pPr>
            <w:r>
              <w:rPr>
                <w:rFonts w:cs="Tahoma" w:ascii="Tahoma" w:hAnsi="Tahoma"/>
                <w:b w:val="false"/>
                <w:bCs w:val="false"/>
                <w:sz w:val="20"/>
              </w:rPr>
              <w:t>Projected changes in workforce through 2004 supplied</w:t>
            </w:r>
          </w:p>
        </w:tc>
      </w:tr>
      <w:tr>
        <w:trPr/>
        <w:tc>
          <w:tcPr>
            <w:tcW w:w="4428" w:type="dxa"/>
            <w:tcBorders/>
          </w:tcPr>
          <w:p>
            <w:pPr>
              <w:pStyle w:val="Subtitle"/>
              <w:snapToGrid w:val="false"/>
              <w:jc w:val="both"/>
              <w:rPr>
                <w:rFonts w:ascii="Tahoma" w:hAnsi="Tahoma" w:cs="Tahoma"/>
                <w:b w:val="false"/>
                <w:bCs w:val="false"/>
                <w:sz w:val="20"/>
              </w:rPr>
            </w:pPr>
            <w:r>
              <w:rPr>
                <w:rFonts w:cs="Tahoma" w:ascii="Tahoma" w:hAnsi="Tahoma"/>
                <w:b w:val="false"/>
                <w:bCs w:val="false"/>
                <w:sz w:val="20"/>
              </w:rPr>
            </w:r>
          </w:p>
          <w:p>
            <w:pPr>
              <w:pStyle w:val="Subtitle"/>
              <w:numPr>
                <w:ilvl w:val="0"/>
                <w:numId w:val="8"/>
              </w:numPr>
              <w:jc w:val="both"/>
              <w:rPr>
                <w:rFonts w:ascii="Tahoma" w:hAnsi="Tahoma" w:cs="Tahoma"/>
                <w:b w:val="false"/>
                <w:bCs w:val="false"/>
                <w:sz w:val="20"/>
              </w:rPr>
            </w:pPr>
            <w:r>
              <w:rPr>
                <w:rFonts w:cs="Tahoma" w:ascii="Tahoma" w:hAnsi="Tahoma"/>
                <w:b w:val="false"/>
                <w:bCs w:val="false"/>
                <w:sz w:val="20"/>
              </w:rPr>
              <w:t>Turnover rate in the general area 11%</w:t>
            </w:r>
          </w:p>
        </w:tc>
        <w:tc>
          <w:tcPr>
            <w:tcW w:w="4320" w:type="dxa"/>
            <w:tcBorders/>
          </w:tcPr>
          <w:p>
            <w:pPr>
              <w:pStyle w:val="Subtitle"/>
              <w:snapToGrid w:val="false"/>
              <w:jc w:val="both"/>
              <w:rPr>
                <w:rFonts w:ascii="Tahoma" w:hAnsi="Tahoma" w:cs="Tahoma"/>
                <w:b w:val="false"/>
                <w:bCs w:val="false"/>
                <w:sz w:val="20"/>
              </w:rPr>
            </w:pPr>
            <w:r>
              <w:rPr>
                <w:rFonts w:cs="Tahoma" w:ascii="Tahoma" w:hAnsi="Tahoma"/>
                <w:b w:val="false"/>
                <w:bCs w:val="false"/>
                <w:sz w:val="20"/>
              </w:rPr>
            </w:r>
          </w:p>
          <w:p>
            <w:pPr>
              <w:pStyle w:val="Subtitle"/>
              <w:numPr>
                <w:ilvl w:val="0"/>
                <w:numId w:val="8"/>
              </w:numPr>
              <w:jc w:val="both"/>
              <w:rPr>
                <w:rFonts w:ascii="Tahoma" w:hAnsi="Tahoma" w:cs="Tahoma"/>
                <w:b w:val="false"/>
                <w:bCs w:val="false"/>
                <w:sz w:val="20"/>
              </w:rPr>
            </w:pPr>
            <w:r>
              <w:rPr>
                <w:rFonts w:cs="Tahoma" w:ascii="Tahoma" w:hAnsi="Tahoma"/>
                <w:b w:val="false"/>
                <w:bCs w:val="false"/>
                <w:sz w:val="20"/>
              </w:rPr>
              <w:t>Cross training of individuals</w:t>
            </w:r>
          </w:p>
        </w:tc>
      </w:tr>
      <w:tr>
        <w:trPr/>
        <w:tc>
          <w:tcPr>
            <w:tcW w:w="4428" w:type="dxa"/>
            <w:tcBorders/>
          </w:tcPr>
          <w:p>
            <w:pPr>
              <w:pStyle w:val="Subtitle"/>
              <w:snapToGrid w:val="false"/>
              <w:jc w:val="both"/>
              <w:rPr>
                <w:rFonts w:ascii="Tahoma" w:hAnsi="Tahoma" w:cs="Tahoma"/>
                <w:b w:val="false"/>
                <w:bCs w:val="false"/>
                <w:sz w:val="20"/>
              </w:rPr>
            </w:pPr>
            <w:r>
              <w:rPr>
                <w:rFonts w:cs="Tahoma" w:ascii="Tahoma" w:hAnsi="Tahoma"/>
                <w:b w:val="false"/>
                <w:bCs w:val="false"/>
                <w:sz w:val="20"/>
              </w:rPr>
            </w:r>
          </w:p>
          <w:p>
            <w:pPr>
              <w:pStyle w:val="Subtitle"/>
              <w:numPr>
                <w:ilvl w:val="0"/>
                <w:numId w:val="8"/>
              </w:numPr>
              <w:jc w:val="both"/>
              <w:rPr>
                <w:rFonts w:ascii="Tahoma" w:hAnsi="Tahoma" w:cs="Tahoma"/>
                <w:b w:val="false"/>
                <w:bCs w:val="false"/>
                <w:sz w:val="20"/>
              </w:rPr>
            </w:pPr>
            <w:r>
              <w:rPr>
                <w:rFonts w:cs="Tahoma" w:ascii="Tahoma" w:hAnsi="Tahoma"/>
                <w:b w:val="false"/>
                <w:bCs w:val="false"/>
                <w:sz w:val="20"/>
              </w:rPr>
              <w:t>Defined communication process (VP’s/Managers regularly meet with Engineering, Finance, Operations and Maintenance</w:t>
            </w:r>
          </w:p>
        </w:tc>
        <w:tc>
          <w:tcPr>
            <w:tcW w:w="4320" w:type="dxa"/>
            <w:tcBorders/>
          </w:tcPr>
          <w:p>
            <w:pPr>
              <w:pStyle w:val="Subtitle"/>
              <w:snapToGrid w:val="false"/>
              <w:jc w:val="both"/>
              <w:rPr>
                <w:rFonts w:ascii="Tahoma" w:hAnsi="Tahoma" w:cs="Tahoma"/>
                <w:b w:val="false"/>
                <w:bCs w:val="false"/>
                <w:sz w:val="20"/>
              </w:rPr>
            </w:pPr>
            <w:r>
              <w:rPr>
                <w:rFonts w:cs="Tahoma" w:ascii="Tahoma" w:hAnsi="Tahoma"/>
                <w:b w:val="false"/>
                <w:bCs w:val="false"/>
                <w:sz w:val="20"/>
              </w:rPr>
            </w:r>
          </w:p>
          <w:p>
            <w:pPr>
              <w:pStyle w:val="Subtitle"/>
              <w:numPr>
                <w:ilvl w:val="0"/>
                <w:numId w:val="8"/>
              </w:numPr>
              <w:jc w:val="both"/>
              <w:rPr>
                <w:rFonts w:ascii="Tahoma" w:hAnsi="Tahoma" w:cs="Tahoma"/>
                <w:b w:val="false"/>
                <w:bCs w:val="false"/>
                <w:sz w:val="20"/>
              </w:rPr>
            </w:pPr>
            <w:r>
              <w:rPr>
                <w:rFonts w:cs="Tahoma" w:ascii="Tahoma" w:hAnsi="Tahoma"/>
                <w:b w:val="false"/>
                <w:bCs w:val="false"/>
                <w:sz w:val="20"/>
              </w:rPr>
              <w:t>Plant managers meet with each shift daily</w:t>
            </w:r>
          </w:p>
        </w:tc>
      </w:tr>
    </w:tbl>
    <w:p>
      <w:pPr>
        <w:pStyle w:val="Normal"/>
        <w:ind w:start="360" w:end="0"/>
        <w:rPr/>
      </w:pPr>
      <w:r>
        <w:rPr/>
      </w:r>
    </w:p>
    <w:p>
      <w:pPr>
        <w:pStyle w:val="Heading2"/>
        <w:ind w:hanging="0" w:start="0"/>
        <w:rPr>
          <w:rFonts w:ascii="Castellar" w:hAnsi="Castellar" w:cs="Castellar"/>
          <w:sz w:val="20"/>
        </w:rPr>
      </w:pPr>
      <w:r>
        <w:rPr>
          <w:rFonts w:cs="Castellar" w:ascii="Castellar" w:hAnsi="Castellar"/>
          <w:sz w:val="20"/>
        </w:rPr>
        <w:t>To be provided in final due diligence:</w:t>
      </w:r>
    </w:p>
    <w:p>
      <w:pPr>
        <w:pStyle w:val="Normal"/>
        <w:rPr>
          <w:rFonts w:ascii="Castellar" w:hAnsi="Castellar" w:cs="Castellar"/>
          <w:sz w:val="20"/>
        </w:rPr>
      </w:pPr>
      <w:r>
        <w:rPr>
          <w:rFonts w:cs="Castellar" w:ascii="Castellar" w:hAnsi="Castellar"/>
          <w:sz w:val="20"/>
        </w:rPr>
      </w:r>
    </w:p>
    <w:p>
      <w:pPr>
        <w:pStyle w:val="Subtitle"/>
        <w:numPr>
          <w:ilvl w:val="0"/>
          <w:numId w:val="7"/>
        </w:numPr>
        <w:jc w:val="both"/>
        <w:rPr>
          <w:rFonts w:ascii="Tahoma" w:hAnsi="Tahoma" w:cs="Tahoma"/>
          <w:b w:val="false"/>
          <w:bCs w:val="false"/>
          <w:sz w:val="20"/>
        </w:rPr>
      </w:pPr>
      <w:r>
        <w:rPr>
          <w:rFonts w:cs="Tahoma" w:ascii="Tahoma" w:hAnsi="Tahoma"/>
          <w:b w:val="false"/>
          <w:bCs w:val="false"/>
          <w:sz w:val="20"/>
        </w:rPr>
        <w:t>Recent organizational charts by department and by functional area</w:t>
      </w:r>
    </w:p>
    <w:p>
      <w:pPr>
        <w:pStyle w:val="Subtitle"/>
        <w:numPr>
          <w:ilvl w:val="0"/>
          <w:numId w:val="7"/>
        </w:numPr>
        <w:jc w:val="both"/>
        <w:rPr>
          <w:rFonts w:ascii="Tahoma" w:hAnsi="Tahoma" w:cs="Tahoma"/>
          <w:b w:val="false"/>
          <w:bCs w:val="false"/>
          <w:sz w:val="20"/>
        </w:rPr>
      </w:pPr>
      <w:r>
        <w:rPr>
          <w:rFonts w:cs="Tahoma" w:ascii="Tahoma" w:hAnsi="Tahoma"/>
          <w:b w:val="false"/>
          <w:bCs w:val="false"/>
          <w:sz w:val="20"/>
        </w:rPr>
        <w:t>Listing of employees. Include a count by location, name, SSN, sex, ethnicity, hire date, date of birth, salary, location, and titles. If possible, would like this information in electronic form.</w:t>
      </w:r>
    </w:p>
    <w:p>
      <w:pPr>
        <w:pStyle w:val="Subtitle"/>
        <w:numPr>
          <w:ilvl w:val="0"/>
          <w:numId w:val="7"/>
        </w:numPr>
        <w:jc w:val="both"/>
        <w:rPr>
          <w:rFonts w:ascii="Tahoma" w:hAnsi="Tahoma" w:cs="Tahoma"/>
          <w:b w:val="false"/>
          <w:bCs w:val="false"/>
          <w:sz w:val="20"/>
        </w:rPr>
      </w:pPr>
      <w:r>
        <w:rPr>
          <w:rFonts w:cs="Tahoma" w:ascii="Tahoma" w:hAnsi="Tahoma"/>
          <w:b w:val="false"/>
          <w:bCs w:val="false"/>
          <w:sz w:val="20"/>
        </w:rPr>
        <w:t>Position/job descriptions.</w:t>
      </w:r>
    </w:p>
    <w:p>
      <w:pPr>
        <w:pStyle w:val="Subtitle"/>
        <w:numPr>
          <w:ilvl w:val="0"/>
          <w:numId w:val="7"/>
        </w:numPr>
        <w:jc w:val="both"/>
        <w:rPr>
          <w:rFonts w:ascii="Tahoma" w:hAnsi="Tahoma" w:cs="Tahoma"/>
          <w:b w:val="false"/>
          <w:bCs w:val="false"/>
          <w:sz w:val="20"/>
        </w:rPr>
      </w:pPr>
      <w:r>
        <w:rPr>
          <w:rFonts w:cs="Tahoma" w:ascii="Tahoma" w:hAnsi="Tahoma"/>
          <w:b w:val="false"/>
          <w:bCs w:val="false"/>
          <w:sz w:val="20"/>
        </w:rPr>
        <w:t>Copies of any Department of Labor filings.</w:t>
      </w:r>
    </w:p>
    <w:p>
      <w:pPr>
        <w:pStyle w:val="Subtitle"/>
        <w:numPr>
          <w:ilvl w:val="0"/>
          <w:numId w:val="7"/>
        </w:numPr>
        <w:jc w:val="both"/>
        <w:rPr>
          <w:rFonts w:ascii="Tahoma" w:hAnsi="Tahoma" w:cs="Tahoma"/>
          <w:b w:val="false"/>
          <w:bCs w:val="false"/>
          <w:sz w:val="20"/>
        </w:rPr>
      </w:pPr>
      <w:r>
        <w:rPr>
          <w:rFonts w:cs="Tahoma" w:ascii="Tahoma" w:hAnsi="Tahoma"/>
          <w:b w:val="false"/>
          <w:bCs w:val="false"/>
          <w:sz w:val="20"/>
        </w:rPr>
        <w:t>Summary of affirmative action plans, if applicable.</w:t>
      </w:r>
    </w:p>
    <w:p>
      <w:pPr>
        <w:pStyle w:val="Subtitle"/>
        <w:numPr>
          <w:ilvl w:val="0"/>
          <w:numId w:val="7"/>
        </w:numPr>
        <w:jc w:val="both"/>
        <w:rPr>
          <w:rFonts w:ascii="Tahoma" w:hAnsi="Tahoma" w:cs="Tahoma"/>
          <w:b w:val="false"/>
          <w:bCs w:val="false"/>
          <w:sz w:val="20"/>
        </w:rPr>
      </w:pPr>
      <w:r>
        <w:rPr>
          <w:rFonts w:cs="Tahoma" w:ascii="Tahoma" w:hAnsi="Tahoma"/>
          <w:b w:val="false"/>
          <w:bCs w:val="false"/>
          <w:sz w:val="20"/>
        </w:rPr>
        <w:t>Existing and potential workers’ compensation claims and the related costs.</w:t>
      </w:r>
    </w:p>
    <w:p>
      <w:pPr>
        <w:pStyle w:val="Subtitle"/>
        <w:numPr>
          <w:ilvl w:val="0"/>
          <w:numId w:val="7"/>
        </w:numPr>
        <w:jc w:val="both"/>
        <w:rPr>
          <w:rFonts w:ascii="Tahoma" w:hAnsi="Tahoma" w:cs="Tahoma"/>
        </w:rPr>
      </w:pPr>
      <w:r>
        <w:rPr>
          <w:rFonts w:cs="Tahoma" w:ascii="Tahoma" w:hAnsi="Tahoma"/>
          <w:b w:val="false"/>
          <w:bCs w:val="false"/>
          <w:sz w:val="20"/>
        </w:rPr>
        <w:t>Employees on leave of absence (medical, workers’ compensation, military and personal reasons).</w:t>
      </w:r>
    </w:p>
    <w:p>
      <w:pPr>
        <w:pStyle w:val="Subtitle"/>
        <w:ind w:start="360" w:end="0"/>
        <w:rPr>
          <w:rFonts w:ascii="Tahoma" w:hAnsi="Tahoma" w:cs="Tahoma"/>
          <w:b w:val="false"/>
          <w:bCs w:val="false"/>
          <w:sz w:val="20"/>
        </w:rPr>
      </w:pPr>
      <w:r>
        <w:rPr>
          <w:rFonts w:cs="Tahoma" w:ascii="Tahoma" w:hAnsi="Tahoma"/>
          <w:b w:val="false"/>
          <w:bCs w:val="false"/>
          <w:sz w:val="20"/>
        </w:rPr>
      </w:r>
    </w:p>
    <w:p>
      <w:pPr>
        <w:pStyle w:val="Normal"/>
        <w:rPr>
          <w:rFonts w:ascii="Tahoma" w:hAnsi="Tahoma" w:cs="Tahoma"/>
          <w:b/>
          <w:bCs/>
          <w:sz w:val="20"/>
          <w:lang w:val="en-CA" w:eastAsia="en-CA"/>
        </w:rPr>
      </w:pPr>
      <w:r>
        <w:rPr>
          <w:rFonts w:cs="Tahoma" w:ascii="Tahoma" w:hAnsi="Tahoma"/>
          <w:b/>
          <w:bCs/>
          <w:sz w:val="20"/>
          <w:lang w:val="en-CA" w:eastAsia="en-CA"/>
        </w:rPr>
      </w:r>
      <w:r>
        <w:br w:type="page"/>
      </w:r>
      <w:r>
        <mc:AlternateContent>
          <mc:Choice Requires="wps">
            <w:drawing>
              <wp:anchor behindDoc="0" distT="0" distB="0" distL="114935" distR="114935" simplePos="0" locked="0" layoutInCell="1" allowOverlap="1" relativeHeight="6">
                <wp:simplePos x="0" y="0"/>
                <wp:positionH relativeFrom="column">
                  <wp:posOffset>489585</wp:posOffset>
                </wp:positionH>
                <wp:positionV relativeFrom="paragraph">
                  <wp:posOffset>53340</wp:posOffset>
                </wp:positionV>
                <wp:extent cx="5612130" cy="2857500"/>
                <wp:effectExtent l="0" t="0" r="0" b="0"/>
                <wp:wrapNone/>
                <wp:docPr id="4" name="Frame3"/>
                <a:graphic xmlns:a="http://schemas.openxmlformats.org/drawingml/2006/main">
                  <a:graphicData uri="http://schemas.microsoft.com/office/word/2010/wordprocessingShape">
                    <wps:wsp>
                      <wps:cNvSpPr txBox="1"/>
                      <wps:spPr>
                        <a:xfrm>
                          <a:off x="0" y="0"/>
                          <a:ext cx="5612130" cy="2857500"/>
                        </a:xfrm>
                        <a:prstGeom prst="rect"/>
                        <a:solidFill>
                          <a:srgbClr val="FFFFFF"/>
                        </a:solidFill>
                        <a:ln w="38100">
                          <a:solidFill>
                            <a:srgbClr val="000000"/>
                          </a:solidFill>
                        </a:ln>
                      </wps:spPr>
                      <wps:txbx>
                        <w:txbxContent>
                          <w:p>
                            <w:pPr>
                              <w:pStyle w:val="Heading2"/>
                              <w:ind w:hanging="0" w:start="0"/>
                              <w:rPr>
                                <w:rFonts w:ascii="Castellar" w:hAnsi="Castellar" w:cs="Castellar"/>
                                <w:sz w:val="20"/>
                              </w:rPr>
                            </w:pPr>
                            <w:r>
                              <w:rPr>
                                <w:rFonts w:cs="Castellar" w:ascii="Castellar" w:hAnsi="Castellar"/>
                                <w:sz w:val="20"/>
                              </w:rPr>
                              <w:t>OBSERVATIONS / Recommendations</w:t>
                            </w:r>
                          </w:p>
                          <w:p>
                            <w:pPr>
                              <w:pStyle w:val="Normal"/>
                              <w:ind w:firstLine="360" w:end="0"/>
                              <w:jc w:val="both"/>
                              <w:rPr>
                                <w:rFonts w:ascii="Tahoma" w:hAnsi="Tahoma" w:cs="Tahoma"/>
                                <w:sz w:val="20"/>
                              </w:rPr>
                            </w:pPr>
                            <w:r>
                              <w:rPr>
                                <w:rFonts w:cs="Tahoma" w:ascii="Tahoma" w:hAnsi="Tahoma"/>
                                <w:sz w:val="20"/>
                              </w:rPr>
                              <w:t>Although information provided during the initial phase of due diligence is minimal, it appears the mine has a clearly defined chain of command and a clear method of communication.  Good relations appear to exist among the miners, as well as between the miners and management.  The workforce is drawn from the local area and therefore appears stable.  Turnover rates are consistent with the industry in the PRB.  Retention has become an issue as a result of new mine operations in the area and a perceived lower rate of compensation.  Projected increases in personnel over the next 5 years are minimal.  Employees seem to be excited by the prospect of new ownership of the mine and an expectation of increases in compensation is present.</w:t>
                            </w:r>
                          </w:p>
                          <w:p>
                            <w:pPr>
                              <w:pStyle w:val="Normal"/>
                              <w:ind w:firstLine="360" w:end="0"/>
                              <w:jc w:val="both"/>
                              <w:rPr>
                                <w:rFonts w:ascii="Tahoma" w:hAnsi="Tahoma" w:cs="Tahoma"/>
                                <w:sz w:val="20"/>
                              </w:rPr>
                            </w:pPr>
                            <w:r>
                              <w:rPr>
                                <w:rFonts w:cs="Tahoma" w:ascii="Tahoma" w:hAnsi="Tahoma"/>
                                <w:sz w:val="20"/>
                              </w:rPr>
                              <w:t xml:space="preserve">Enron needs to be cognizant of any formal or informal agreements (compensation and job related).  These may present an unseen cost.  Replies to this question have been inconsistent from Triton Employees.  Workers compensation costs have been presented for the past two years but additional information related to the numbers of current claims will need to be provided by Triton. </w:t>
                            </w:r>
                          </w:p>
                          <w:p>
                            <w:pPr>
                              <w:pStyle w:val="Normal"/>
                              <w:ind w:firstLine="360" w:end="0"/>
                              <w:jc w:val="both"/>
                              <w:rPr>
                                <w:rFonts w:ascii="Tahoma" w:hAnsi="Tahoma" w:cs="Tahoma"/>
                                <w:sz w:val="20"/>
                              </w:rPr>
                            </w:pPr>
                            <w:r>
                              <w:rPr>
                                <w:rFonts w:cs="Tahoma" w:ascii="Tahoma" w:hAnsi="Tahoma"/>
                                <w:sz w:val="20"/>
                              </w:rPr>
                              <w:t xml:space="preserve">Compliance related data will need to be screened in subsequent due diligence.  Department of Labor filings will need to be viewed to confirm compliance. </w:t>
                            </w:r>
                          </w:p>
                          <w:p>
                            <w:pPr>
                              <w:pStyle w:val="Normal"/>
                              <w:rPr>
                                <w:rFonts w:ascii="Tahoma" w:hAnsi="Tahoma" w:cs="Tahoma"/>
                                <w:sz w:val="20"/>
                              </w:rPr>
                            </w:pPr>
                            <w:r>
                              <w:rPr>
                                <w:rFonts w:cs="Tahoma" w:ascii="Tahoma" w:hAnsi="Tahoma"/>
                                <w:sz w:val="20"/>
                              </w:rPr>
                            </w:r>
                          </w:p>
                          <w:p>
                            <w:pPr>
                              <w:pStyle w:val="Normal"/>
                              <w:rPr>
                                <w:rFonts w:ascii="Tahoma" w:hAnsi="Tahoma" w:cs="Tahoma"/>
                                <w:sz w:val="20"/>
                              </w:rPr>
                            </w:pPr>
                            <w:r>
                              <w:rPr>
                                <w:rFonts w:cs="Tahoma" w:ascii="Tahoma" w:hAnsi="Tahoma"/>
                                <w:sz w:val="20"/>
                              </w:rPr>
                            </w:r>
                          </w:p>
                          <w:p>
                            <w:pPr>
                              <w:pStyle w:val="Normal"/>
                              <w:ind w:end="0"/>
                              <w:rPr>
                                <w:rFonts w:ascii="Tahoma" w:hAnsi="Tahoma" w:cs="Tahoma"/>
                                <w:sz w:val="20"/>
                              </w:rPr>
                            </w:pPr>
                            <w:r>
                              <w:rPr>
                                <w:rFonts w:cs="Tahoma" w:ascii="Tahoma" w:hAnsi="Tahoma"/>
                                <w:sz w:val="20"/>
                              </w:rPr>
                            </w:r>
                          </w:p>
                        </w:txbxContent>
                      </wps:txbx>
                      <wps:bodyPr anchor="t" lIns="68580" tIns="22860" rIns="68580" bIns="22860">
                        <a:noAutofit/>
                      </wps:bodyPr>
                    </wps:wsp>
                  </a:graphicData>
                </a:graphic>
              </wp:anchor>
            </w:drawing>
          </mc:Choice>
          <mc:Fallback>
            <w:pict>
              <v:rect fillcolor="#FFFFFF" strokecolor="#000000" strokeweight="3pt" style="position:absolute;rotation:-0;width:441.9pt;height:225pt;mso-wrap-distance-left:9.05pt;mso-wrap-distance-right:9.05pt;mso-wrap-distance-top:0pt;mso-wrap-distance-bottom:0pt;margin-top:4.2pt;mso-position-vertical-relative:text;margin-left:38.55pt;mso-position-horizontal-relative:text">
                <v:textbox inset="0.075in,0.025in,0.075in,0.025in">
                  <w:txbxContent>
                    <w:p>
                      <w:pPr>
                        <w:pStyle w:val="Heading2"/>
                        <w:ind w:hanging="0" w:start="0"/>
                        <w:rPr>
                          <w:rFonts w:ascii="Castellar" w:hAnsi="Castellar" w:cs="Castellar"/>
                          <w:sz w:val="20"/>
                        </w:rPr>
                      </w:pPr>
                      <w:r>
                        <w:rPr>
                          <w:rFonts w:cs="Castellar" w:ascii="Castellar" w:hAnsi="Castellar"/>
                          <w:sz w:val="20"/>
                        </w:rPr>
                        <w:t>OBSERVATIONS / Recommendations</w:t>
                      </w:r>
                    </w:p>
                    <w:p>
                      <w:pPr>
                        <w:pStyle w:val="Normal"/>
                        <w:ind w:firstLine="360" w:end="0"/>
                        <w:jc w:val="both"/>
                        <w:rPr>
                          <w:rFonts w:ascii="Tahoma" w:hAnsi="Tahoma" w:cs="Tahoma"/>
                          <w:sz w:val="20"/>
                        </w:rPr>
                      </w:pPr>
                      <w:r>
                        <w:rPr>
                          <w:rFonts w:cs="Tahoma" w:ascii="Tahoma" w:hAnsi="Tahoma"/>
                          <w:sz w:val="20"/>
                        </w:rPr>
                        <w:t>Although information provided during the initial phase of due diligence is minimal, it appears the mine has a clearly defined chain of command and a clear method of communication.  Good relations appear to exist among the miners, as well as between the miners and management.  The workforce is drawn from the local area and therefore appears stable.  Turnover rates are consistent with the industry in the PRB.  Retention has become an issue as a result of new mine operations in the area and a perceived lower rate of compensation.  Projected increases in personnel over the next 5 years are minimal.  Employees seem to be excited by the prospect of new ownership of the mine and an expectation of increases in compensation is present.</w:t>
                      </w:r>
                    </w:p>
                    <w:p>
                      <w:pPr>
                        <w:pStyle w:val="Normal"/>
                        <w:ind w:firstLine="360" w:end="0"/>
                        <w:jc w:val="both"/>
                        <w:rPr>
                          <w:rFonts w:ascii="Tahoma" w:hAnsi="Tahoma" w:cs="Tahoma"/>
                          <w:sz w:val="20"/>
                        </w:rPr>
                      </w:pPr>
                      <w:r>
                        <w:rPr>
                          <w:rFonts w:cs="Tahoma" w:ascii="Tahoma" w:hAnsi="Tahoma"/>
                          <w:sz w:val="20"/>
                        </w:rPr>
                        <w:t xml:space="preserve">Enron needs to be cognizant of any formal or informal agreements (compensation and job related).  These may present an unseen cost.  Replies to this question have been inconsistent from Triton Employees.  Workers compensation costs have been presented for the past two years but additional information related to the numbers of current claims will need to be provided by Triton. </w:t>
                      </w:r>
                    </w:p>
                    <w:p>
                      <w:pPr>
                        <w:pStyle w:val="Normal"/>
                        <w:ind w:firstLine="360" w:end="0"/>
                        <w:jc w:val="both"/>
                        <w:rPr>
                          <w:rFonts w:ascii="Tahoma" w:hAnsi="Tahoma" w:cs="Tahoma"/>
                          <w:sz w:val="20"/>
                        </w:rPr>
                      </w:pPr>
                      <w:r>
                        <w:rPr>
                          <w:rFonts w:cs="Tahoma" w:ascii="Tahoma" w:hAnsi="Tahoma"/>
                          <w:sz w:val="20"/>
                        </w:rPr>
                        <w:t xml:space="preserve">Compliance related data will need to be screened in subsequent due diligence.  Department of Labor filings will need to be viewed to confirm compliance. </w:t>
                      </w:r>
                    </w:p>
                    <w:p>
                      <w:pPr>
                        <w:pStyle w:val="Normal"/>
                        <w:rPr>
                          <w:rFonts w:ascii="Tahoma" w:hAnsi="Tahoma" w:cs="Tahoma"/>
                          <w:sz w:val="20"/>
                        </w:rPr>
                      </w:pPr>
                      <w:r>
                        <w:rPr>
                          <w:rFonts w:cs="Tahoma" w:ascii="Tahoma" w:hAnsi="Tahoma"/>
                          <w:sz w:val="20"/>
                        </w:rPr>
                      </w:r>
                    </w:p>
                    <w:p>
                      <w:pPr>
                        <w:pStyle w:val="Normal"/>
                        <w:rPr>
                          <w:rFonts w:ascii="Tahoma" w:hAnsi="Tahoma" w:cs="Tahoma"/>
                          <w:sz w:val="20"/>
                        </w:rPr>
                      </w:pPr>
                      <w:r>
                        <w:rPr>
                          <w:rFonts w:cs="Tahoma" w:ascii="Tahoma" w:hAnsi="Tahoma"/>
                          <w:sz w:val="20"/>
                        </w:rPr>
                      </w:r>
                    </w:p>
                    <w:p>
                      <w:pPr>
                        <w:pStyle w:val="Normal"/>
                        <w:ind w:end="0"/>
                        <w:rPr>
                          <w:rFonts w:ascii="Tahoma" w:hAnsi="Tahoma" w:cs="Tahoma"/>
                          <w:sz w:val="20"/>
                        </w:rPr>
                      </w:pPr>
                      <w:r>
                        <w:rPr>
                          <w:rFonts w:cs="Tahoma" w:ascii="Tahoma" w:hAnsi="Tahoma"/>
                          <w:sz w:val="20"/>
                        </w:rPr>
                      </w:r>
                    </w:p>
                  </w:txbxContent>
                </v:textbox>
                <w10:wrap type="none"/>
              </v:rect>
            </w:pict>
          </mc:Fallback>
        </mc:AlternateContent>
      </w:r>
    </w:p>
    <w:p>
      <w:pPr>
        <w:pStyle w:val="Heading1"/>
        <w:ind w:hanging="0" w:start="0"/>
        <w:jc w:val="start"/>
        <w:rPr/>
      </w:pPr>
      <w:r>
        <w:rPr/>
        <w:t>Mines</w:t>
      </w:r>
    </w:p>
    <w:p>
      <w:pPr>
        <w:pStyle w:val="Normal"/>
        <w:rPr/>
      </w:pPr>
      <w:r>
        <w:rPr/>
      </w:r>
    </w:p>
    <w:p>
      <w:pPr>
        <w:pStyle w:val="Heading5"/>
        <w:rPr>
          <w:rFonts w:cs="Times New Roman"/>
        </w:rPr>
      </w:pPr>
      <w:r>
        <w:rPr>
          <w:rFonts w:cs="Times New Roman"/>
        </w:rPr>
        <w:t>Feedback</w:t>
      </w:r>
    </w:p>
    <w:p>
      <w:pPr>
        <w:pStyle w:val="Normal"/>
        <w:rPr>
          <w:rFonts w:ascii="Tahoma" w:hAnsi="Tahoma" w:cs="Tahoma"/>
          <w:b/>
          <w:bCs/>
        </w:rPr>
      </w:pPr>
      <w:r>
        <w:rPr>
          <w:rFonts w:cs="Tahoma" w:ascii="Tahoma" w:hAnsi="Tahoma"/>
          <w:b/>
          <w:bCs/>
        </w:rPr>
      </w:r>
    </w:p>
    <w:tbl>
      <w:tblPr>
        <w:tblW w:w="8748" w:type="dxa"/>
        <w:jc w:val="start"/>
        <w:tblInd w:w="720" w:type="dxa"/>
        <w:tblLayout w:type="fixed"/>
        <w:tblCellMar>
          <w:top w:w="0" w:type="dxa"/>
          <w:start w:w="108" w:type="dxa"/>
          <w:bottom w:w="0" w:type="dxa"/>
          <w:end w:w="108" w:type="dxa"/>
        </w:tblCellMar>
      </w:tblPr>
      <w:tblGrid>
        <w:gridCol w:w="4428"/>
        <w:gridCol w:w="4320"/>
      </w:tblGrid>
      <w:tr>
        <w:trPr/>
        <w:tc>
          <w:tcPr>
            <w:tcW w:w="4428" w:type="dxa"/>
            <w:tcBorders/>
          </w:tcPr>
          <w:p>
            <w:pPr>
              <w:pStyle w:val="Normal"/>
              <w:numPr>
                <w:ilvl w:val="0"/>
                <w:numId w:val="8"/>
              </w:numPr>
              <w:jc w:val="both"/>
              <w:rPr>
                <w:rFonts w:ascii="Tahoma" w:hAnsi="Tahoma" w:cs="Tahoma"/>
                <w:sz w:val="20"/>
              </w:rPr>
            </w:pPr>
            <w:r>
              <w:rPr>
                <w:rFonts w:cs="Tahoma" w:ascii="Tahoma" w:hAnsi="Tahoma"/>
                <w:sz w:val="20"/>
              </w:rPr>
              <w:t>All federal and state required postings are in the break room at both sites</w:t>
            </w:r>
          </w:p>
        </w:tc>
        <w:tc>
          <w:tcPr>
            <w:tcW w:w="4320" w:type="dxa"/>
            <w:tcBorders/>
          </w:tcPr>
          <w:p>
            <w:pPr>
              <w:pStyle w:val="Normal"/>
              <w:numPr>
                <w:ilvl w:val="0"/>
                <w:numId w:val="14"/>
              </w:numPr>
              <w:jc w:val="both"/>
              <w:rPr>
                <w:rFonts w:ascii="Tahoma" w:hAnsi="Tahoma" w:cs="Tahoma"/>
                <w:sz w:val="20"/>
              </w:rPr>
            </w:pPr>
            <w:r>
              <w:rPr>
                <w:rFonts w:cs="Tahoma" w:ascii="Tahoma" w:hAnsi="Tahoma"/>
                <w:sz w:val="20"/>
              </w:rPr>
              <w:t>Productivity targets, vacation schedules, etc. to guide staffing levels</w:t>
            </w:r>
          </w:p>
        </w:tc>
      </w:tr>
      <w:tr>
        <w:trPr/>
        <w:tc>
          <w:tcPr>
            <w:tcW w:w="4428" w:type="dxa"/>
            <w:tcBorders/>
          </w:tcPr>
          <w:p>
            <w:pPr>
              <w:pStyle w:val="Normal"/>
              <w:snapToGrid w:val="false"/>
              <w:jc w:val="both"/>
              <w:rPr>
                <w:rFonts w:ascii="Tahoma" w:hAnsi="Tahoma" w:cs="Tahoma"/>
                <w:sz w:val="20"/>
              </w:rPr>
            </w:pPr>
            <w:r>
              <w:rPr>
                <w:rFonts w:cs="Tahoma" w:ascii="Tahoma" w:hAnsi="Tahoma"/>
                <w:sz w:val="20"/>
              </w:rPr>
            </w:r>
          </w:p>
          <w:p>
            <w:pPr>
              <w:pStyle w:val="Normal"/>
              <w:numPr>
                <w:ilvl w:val="0"/>
                <w:numId w:val="8"/>
              </w:numPr>
              <w:jc w:val="both"/>
              <w:rPr>
                <w:rFonts w:ascii="Tahoma" w:hAnsi="Tahoma" w:cs="Tahoma"/>
                <w:sz w:val="20"/>
              </w:rPr>
            </w:pPr>
            <w:r>
              <w:rPr>
                <w:rFonts w:cs="Tahoma" w:ascii="Tahoma" w:hAnsi="Tahoma"/>
                <w:sz w:val="20"/>
              </w:rPr>
              <w:t>Facility was very clean and organized</w:t>
            </w:r>
          </w:p>
        </w:tc>
        <w:tc>
          <w:tcPr>
            <w:tcW w:w="4320" w:type="dxa"/>
            <w:tcBorders/>
          </w:tcPr>
          <w:p>
            <w:pPr>
              <w:pStyle w:val="Normal"/>
              <w:snapToGrid w:val="false"/>
              <w:ind w:start="360" w:end="0"/>
              <w:jc w:val="both"/>
              <w:rPr>
                <w:rFonts w:ascii="Tahoma" w:hAnsi="Tahoma" w:cs="Tahoma"/>
                <w:b/>
                <w:bCs/>
                <w:sz w:val="20"/>
              </w:rPr>
            </w:pPr>
            <w:r>
              <w:rPr>
                <w:rFonts w:cs="Tahoma" w:ascii="Tahoma" w:hAnsi="Tahoma"/>
                <w:b/>
                <w:bCs/>
                <w:sz w:val="20"/>
              </w:rPr>
            </w:r>
          </w:p>
          <w:p>
            <w:pPr>
              <w:pStyle w:val="Normal"/>
              <w:numPr>
                <w:ilvl w:val="0"/>
                <w:numId w:val="14"/>
              </w:numPr>
              <w:jc w:val="both"/>
              <w:rPr>
                <w:rFonts w:ascii="Tahoma" w:hAnsi="Tahoma" w:cs="Tahoma"/>
                <w:b/>
                <w:bCs/>
                <w:sz w:val="20"/>
              </w:rPr>
            </w:pPr>
            <w:r>
              <w:rPr>
                <w:rFonts w:cs="Tahoma" w:ascii="Tahoma" w:hAnsi="Tahoma"/>
                <w:sz w:val="20"/>
              </w:rPr>
              <w:t>There no has been no payout on the productivity bonus for the last 2 years</w:t>
            </w:r>
          </w:p>
        </w:tc>
      </w:tr>
      <w:tr>
        <w:trPr/>
        <w:tc>
          <w:tcPr>
            <w:tcW w:w="4428" w:type="dxa"/>
            <w:tcBorders/>
          </w:tcPr>
          <w:p>
            <w:pPr>
              <w:pStyle w:val="Normal"/>
              <w:snapToGrid w:val="false"/>
              <w:jc w:val="both"/>
              <w:rPr>
                <w:rFonts w:ascii="Tahoma" w:hAnsi="Tahoma" w:cs="Tahoma"/>
                <w:b/>
                <w:bCs/>
                <w:sz w:val="20"/>
              </w:rPr>
            </w:pPr>
            <w:r>
              <w:rPr>
                <w:rFonts w:cs="Tahoma" w:ascii="Tahoma" w:hAnsi="Tahoma"/>
                <w:b/>
                <w:bCs/>
                <w:sz w:val="20"/>
              </w:rPr>
            </w:r>
          </w:p>
          <w:p>
            <w:pPr>
              <w:pStyle w:val="Normal"/>
              <w:numPr>
                <w:ilvl w:val="0"/>
                <w:numId w:val="8"/>
              </w:numPr>
              <w:jc w:val="both"/>
              <w:rPr>
                <w:rFonts w:ascii="Tahoma" w:hAnsi="Tahoma" w:cs="Tahoma"/>
                <w:b/>
                <w:bCs/>
                <w:sz w:val="20"/>
              </w:rPr>
            </w:pPr>
            <w:r>
              <w:rPr>
                <w:rFonts w:cs="Tahoma" w:ascii="Tahoma" w:hAnsi="Tahoma"/>
                <w:sz w:val="20"/>
              </w:rPr>
              <w:t>No union representative in the Powder River Basin area</w:t>
            </w:r>
          </w:p>
        </w:tc>
        <w:tc>
          <w:tcPr>
            <w:tcW w:w="4320" w:type="dxa"/>
            <w:tcBorders/>
          </w:tcPr>
          <w:p>
            <w:pPr>
              <w:pStyle w:val="Normal"/>
              <w:snapToGrid w:val="false"/>
              <w:jc w:val="both"/>
              <w:rPr>
                <w:rFonts w:ascii="Tahoma" w:hAnsi="Tahoma" w:cs="Tahoma"/>
                <w:b/>
                <w:bCs/>
                <w:sz w:val="20"/>
              </w:rPr>
            </w:pPr>
            <w:r>
              <w:rPr>
                <w:rFonts w:cs="Tahoma" w:ascii="Tahoma" w:hAnsi="Tahoma"/>
                <w:b/>
                <w:bCs/>
                <w:sz w:val="20"/>
              </w:rPr>
            </w:r>
          </w:p>
          <w:p>
            <w:pPr>
              <w:pStyle w:val="Normal"/>
              <w:numPr>
                <w:ilvl w:val="0"/>
                <w:numId w:val="14"/>
              </w:numPr>
              <w:jc w:val="both"/>
              <w:rPr>
                <w:rFonts w:ascii="Tahoma" w:hAnsi="Tahoma" w:cs="Tahoma"/>
                <w:b/>
                <w:bCs/>
                <w:sz w:val="20"/>
              </w:rPr>
            </w:pPr>
            <w:r>
              <w:rPr>
                <w:rFonts w:cs="Tahoma" w:ascii="Tahoma" w:hAnsi="Tahoma"/>
                <w:sz w:val="20"/>
              </w:rPr>
              <w:t>The mines are regulated by MSHA (Wyoming state law and company policies)</w:t>
            </w:r>
          </w:p>
        </w:tc>
      </w:tr>
      <w:tr>
        <w:trPr/>
        <w:tc>
          <w:tcPr>
            <w:tcW w:w="4428" w:type="dxa"/>
            <w:tcBorders/>
          </w:tcPr>
          <w:p>
            <w:pPr>
              <w:pStyle w:val="Normal"/>
              <w:numPr>
                <w:ilvl w:val="0"/>
                <w:numId w:val="2"/>
              </w:numPr>
              <w:rPr>
                <w:rFonts w:ascii="Tahoma" w:hAnsi="Tahoma" w:cs="Tahoma"/>
                <w:sz w:val="20"/>
              </w:rPr>
            </w:pPr>
            <w:r>
              <w:rPr>
                <w:rFonts w:cs="Tahoma" w:ascii="Tahoma" w:hAnsi="Tahoma"/>
                <w:sz w:val="20"/>
              </w:rPr>
              <w:t xml:space="preserve">Normal Promotion Progression (Mine and Warehouse) </w:t>
            </w:r>
          </w:p>
        </w:tc>
        <w:tc>
          <w:tcPr>
            <w:tcW w:w="4320" w:type="dxa"/>
            <w:tcBorders/>
          </w:tcPr>
          <w:p>
            <w:pPr>
              <w:pStyle w:val="Normal"/>
              <w:snapToGrid w:val="false"/>
              <w:jc w:val="both"/>
              <w:rPr>
                <w:rFonts w:ascii="Tahoma" w:hAnsi="Tahoma" w:cs="Tahoma"/>
                <w:sz w:val="20"/>
              </w:rPr>
            </w:pPr>
            <w:r>
              <w:rPr>
                <w:rFonts w:cs="Tahoma" w:ascii="Tahoma" w:hAnsi="Tahoma"/>
                <w:sz w:val="20"/>
              </w:rPr>
            </w:r>
          </w:p>
        </w:tc>
      </w:tr>
      <w:tr>
        <w:trPr/>
        <w:tc>
          <w:tcPr>
            <w:tcW w:w="4428" w:type="dxa"/>
            <w:tcBorders/>
          </w:tcPr>
          <w:p>
            <w:pPr>
              <w:pStyle w:val="Normal"/>
              <w:ind w:start="720" w:end="0"/>
              <w:jc w:val="both"/>
              <w:rPr>
                <w:rFonts w:ascii="Tahoma" w:hAnsi="Tahoma" w:cs="Tahoma"/>
                <w:sz w:val="20"/>
              </w:rPr>
            </w:pPr>
            <w:r>
              <w:rPr>
                <w:rFonts w:cs="Tahoma" w:ascii="Tahoma" w:hAnsi="Tahoma"/>
                <w:sz w:val="20"/>
              </w:rPr>
              <w:t>Tech 0:  for 6 months</w:t>
            </w:r>
          </w:p>
        </w:tc>
        <w:tc>
          <w:tcPr>
            <w:tcW w:w="4320" w:type="dxa"/>
            <w:tcBorders/>
          </w:tcPr>
          <w:p>
            <w:pPr>
              <w:pStyle w:val="Normal"/>
              <w:snapToGrid w:val="false"/>
              <w:ind w:start="720" w:end="0"/>
              <w:jc w:val="both"/>
              <w:rPr>
                <w:rFonts w:ascii="Tahoma" w:hAnsi="Tahoma" w:cs="Tahoma"/>
                <w:sz w:val="20"/>
              </w:rPr>
            </w:pPr>
            <w:r>
              <w:rPr>
                <w:rFonts w:cs="Tahoma" w:ascii="Tahoma" w:hAnsi="Tahoma"/>
                <w:sz w:val="20"/>
              </w:rPr>
            </w:r>
          </w:p>
        </w:tc>
      </w:tr>
      <w:tr>
        <w:trPr/>
        <w:tc>
          <w:tcPr>
            <w:tcW w:w="4428" w:type="dxa"/>
            <w:tcBorders/>
          </w:tcPr>
          <w:p>
            <w:pPr>
              <w:pStyle w:val="BodyTextIndent"/>
              <w:ind w:start="720" w:end="0"/>
              <w:jc w:val="both"/>
              <w:rPr>
                <w:rFonts w:ascii="Tahoma" w:hAnsi="Tahoma" w:cs="Tahoma"/>
                <w:sz w:val="20"/>
              </w:rPr>
            </w:pPr>
            <w:r>
              <w:rPr>
                <w:rFonts w:cs="Tahoma" w:ascii="Tahoma" w:hAnsi="Tahoma"/>
                <w:sz w:val="20"/>
              </w:rPr>
              <w:t>Tech 1:  for 6 months</w:t>
            </w:r>
          </w:p>
        </w:tc>
        <w:tc>
          <w:tcPr>
            <w:tcW w:w="4320" w:type="dxa"/>
            <w:tcBorders/>
          </w:tcPr>
          <w:p>
            <w:pPr>
              <w:pStyle w:val="BodyTextIndent"/>
              <w:snapToGrid w:val="false"/>
              <w:ind w:start="720" w:end="0"/>
              <w:jc w:val="both"/>
              <w:rPr>
                <w:rFonts w:ascii="Tahoma" w:hAnsi="Tahoma" w:cs="Tahoma"/>
                <w:sz w:val="20"/>
              </w:rPr>
            </w:pPr>
            <w:r>
              <w:rPr>
                <w:rFonts w:cs="Tahoma" w:ascii="Tahoma" w:hAnsi="Tahoma"/>
                <w:sz w:val="20"/>
              </w:rPr>
            </w:r>
          </w:p>
        </w:tc>
      </w:tr>
      <w:tr>
        <w:trPr/>
        <w:tc>
          <w:tcPr>
            <w:tcW w:w="4428" w:type="dxa"/>
            <w:tcBorders/>
          </w:tcPr>
          <w:p>
            <w:pPr>
              <w:pStyle w:val="BodyTextIndent"/>
              <w:ind w:start="720" w:end="0"/>
              <w:jc w:val="both"/>
              <w:rPr>
                <w:rFonts w:ascii="Tahoma" w:hAnsi="Tahoma" w:cs="Tahoma"/>
                <w:sz w:val="20"/>
              </w:rPr>
            </w:pPr>
            <w:r>
              <w:rPr>
                <w:rFonts w:cs="Tahoma" w:ascii="Tahoma" w:hAnsi="Tahoma"/>
                <w:sz w:val="20"/>
              </w:rPr>
              <w:t>Tech 2:  for 1 year</w:t>
            </w:r>
          </w:p>
        </w:tc>
        <w:tc>
          <w:tcPr>
            <w:tcW w:w="4320" w:type="dxa"/>
            <w:tcBorders/>
          </w:tcPr>
          <w:p>
            <w:pPr>
              <w:pStyle w:val="BodyTextIndent"/>
              <w:snapToGrid w:val="false"/>
              <w:ind w:start="720" w:end="0"/>
              <w:jc w:val="both"/>
              <w:rPr>
                <w:rFonts w:ascii="Tahoma" w:hAnsi="Tahoma" w:cs="Tahoma"/>
                <w:sz w:val="20"/>
              </w:rPr>
            </w:pPr>
            <w:r>
              <w:rPr>
                <w:rFonts w:cs="Tahoma" w:ascii="Tahoma" w:hAnsi="Tahoma"/>
                <w:sz w:val="20"/>
              </w:rPr>
            </w:r>
          </w:p>
        </w:tc>
      </w:tr>
      <w:tr>
        <w:trPr/>
        <w:tc>
          <w:tcPr>
            <w:tcW w:w="4428" w:type="dxa"/>
            <w:tcBorders/>
          </w:tcPr>
          <w:p>
            <w:pPr>
              <w:pStyle w:val="BodyTextIndent"/>
              <w:ind w:start="720" w:end="0"/>
              <w:jc w:val="both"/>
              <w:rPr>
                <w:rFonts w:ascii="Tahoma" w:hAnsi="Tahoma" w:cs="Tahoma"/>
                <w:sz w:val="20"/>
              </w:rPr>
            </w:pPr>
            <w:r>
              <w:rPr>
                <w:rFonts w:cs="Tahoma" w:ascii="Tahoma" w:hAnsi="Tahoma"/>
                <w:sz w:val="20"/>
              </w:rPr>
              <w:t>Tech 3:  for 9 months</w:t>
            </w:r>
          </w:p>
        </w:tc>
        <w:tc>
          <w:tcPr>
            <w:tcW w:w="4320" w:type="dxa"/>
            <w:tcBorders/>
          </w:tcPr>
          <w:p>
            <w:pPr>
              <w:pStyle w:val="BodyTextIndent"/>
              <w:snapToGrid w:val="false"/>
              <w:ind w:start="720" w:end="0"/>
              <w:jc w:val="both"/>
              <w:rPr>
                <w:rFonts w:ascii="Tahoma" w:hAnsi="Tahoma" w:cs="Tahoma"/>
                <w:sz w:val="20"/>
              </w:rPr>
            </w:pPr>
            <w:r>
              <w:rPr>
                <w:rFonts w:cs="Tahoma" w:ascii="Tahoma" w:hAnsi="Tahoma"/>
                <w:sz w:val="20"/>
              </w:rPr>
            </w:r>
          </w:p>
        </w:tc>
      </w:tr>
      <w:tr>
        <w:trPr/>
        <w:tc>
          <w:tcPr>
            <w:tcW w:w="4428" w:type="dxa"/>
            <w:tcBorders/>
          </w:tcPr>
          <w:p>
            <w:pPr>
              <w:pStyle w:val="BodyTextIndent"/>
              <w:ind w:start="720" w:end="0"/>
              <w:jc w:val="both"/>
              <w:rPr>
                <w:rFonts w:ascii="Tahoma" w:hAnsi="Tahoma" w:cs="Tahoma"/>
                <w:sz w:val="20"/>
              </w:rPr>
            </w:pPr>
            <w:r>
              <w:rPr>
                <w:rFonts w:cs="Tahoma" w:ascii="Tahoma" w:hAnsi="Tahoma"/>
                <w:sz w:val="20"/>
              </w:rPr>
              <w:t>Tech 4:  for 18 months</w:t>
            </w:r>
          </w:p>
        </w:tc>
        <w:tc>
          <w:tcPr>
            <w:tcW w:w="4320" w:type="dxa"/>
            <w:tcBorders/>
          </w:tcPr>
          <w:p>
            <w:pPr>
              <w:pStyle w:val="BodyTextIndent"/>
              <w:snapToGrid w:val="false"/>
              <w:ind w:start="720" w:end="0"/>
              <w:jc w:val="both"/>
              <w:rPr>
                <w:rFonts w:ascii="Tahoma" w:hAnsi="Tahoma" w:cs="Tahoma"/>
                <w:sz w:val="20"/>
              </w:rPr>
            </w:pPr>
            <w:r>
              <w:rPr>
                <w:rFonts w:cs="Tahoma" w:ascii="Tahoma" w:hAnsi="Tahoma"/>
                <w:sz w:val="20"/>
              </w:rPr>
            </w:r>
          </w:p>
        </w:tc>
      </w:tr>
    </w:tbl>
    <w:p>
      <w:pPr>
        <w:pStyle w:val="Normal"/>
        <w:ind w:start="360" w:end="0"/>
        <w:rPr>
          <w:rFonts w:ascii="Tahoma" w:hAnsi="Tahoma" w:cs="Tahoma"/>
          <w:b/>
          <w:bCs/>
          <w:sz w:val="20"/>
        </w:rPr>
      </w:pPr>
      <w:r>
        <w:rPr>
          <w:rFonts w:cs="Tahoma" w:ascii="Tahoma" w:hAnsi="Tahoma"/>
          <w:b/>
          <w:bCs/>
          <w:sz w:val="20"/>
        </w:rPr>
      </w:r>
    </w:p>
    <w:p>
      <w:pPr>
        <w:pStyle w:val="Heading1"/>
        <w:numPr>
          <w:ilvl w:val="0"/>
          <w:numId w:val="0"/>
        </w:numPr>
        <w:jc w:val="start"/>
        <w:rPr>
          <w:rFonts w:ascii="Tahoma" w:hAnsi="Tahoma" w:cs="Tahoma"/>
          <w:b/>
          <w:bCs/>
          <w:sz w:val="20"/>
        </w:rPr>
      </w:pPr>
      <w:r>
        <w:rPr>
          <w:rFonts w:cs="Tahoma" w:ascii="Tahoma" w:hAnsi="Tahoma"/>
          <w:b/>
          <w:bCs/>
          <w:sz w:val="20"/>
        </w:rPr>
      </w:r>
      <w:r>
        <w:br w:type="page"/>
      </w:r>
      <w:r>
        <mc:AlternateContent>
          <mc:Choice Requires="wps">
            <w:drawing>
              <wp:anchor behindDoc="0" distT="0" distB="0" distL="114935" distR="114935" simplePos="0" locked="0" layoutInCell="1" allowOverlap="1" relativeHeight="7">
                <wp:simplePos x="0" y="0"/>
                <wp:positionH relativeFrom="column">
                  <wp:posOffset>451485</wp:posOffset>
                </wp:positionH>
                <wp:positionV relativeFrom="paragraph">
                  <wp:posOffset>349885</wp:posOffset>
                </wp:positionV>
                <wp:extent cx="5612130" cy="3149600"/>
                <wp:effectExtent l="0" t="0" r="0" b="0"/>
                <wp:wrapNone/>
                <wp:docPr id="5" name="Frame4"/>
                <a:graphic xmlns:a="http://schemas.openxmlformats.org/drawingml/2006/main">
                  <a:graphicData uri="http://schemas.microsoft.com/office/word/2010/wordprocessingShape">
                    <wps:wsp>
                      <wps:cNvSpPr txBox="1"/>
                      <wps:spPr>
                        <a:xfrm>
                          <a:off x="0" y="0"/>
                          <a:ext cx="5612130" cy="3149600"/>
                        </a:xfrm>
                        <a:prstGeom prst="rect"/>
                        <a:solidFill>
                          <a:srgbClr val="FFFFFF"/>
                        </a:solidFill>
                        <a:ln w="38100">
                          <a:solidFill>
                            <a:srgbClr val="000000"/>
                          </a:solidFill>
                        </a:ln>
                      </wps:spPr>
                      <wps:txbx>
                        <w:txbxContent>
                          <w:p>
                            <w:pPr>
                              <w:pStyle w:val="Heading2"/>
                              <w:ind w:hanging="0" w:start="0"/>
                              <w:rPr>
                                <w:rFonts w:ascii="Castellar" w:hAnsi="Castellar" w:cs="Castellar"/>
                                <w:sz w:val="20"/>
                              </w:rPr>
                            </w:pPr>
                            <w:r>
                              <w:rPr>
                                <w:rFonts w:cs="Castellar" w:ascii="Castellar" w:hAnsi="Castellar"/>
                                <w:sz w:val="20"/>
                              </w:rPr>
                              <w:t>OBSERVATIONS / Recommendations</w:t>
                            </w:r>
                          </w:p>
                          <w:p>
                            <w:pPr>
                              <w:pStyle w:val="Normal"/>
                              <w:ind w:firstLine="360" w:end="0"/>
                              <w:jc w:val="both"/>
                              <w:rPr>
                                <w:rFonts w:ascii="Tahoma" w:hAnsi="Tahoma" w:cs="Tahoma"/>
                                <w:sz w:val="20"/>
                              </w:rPr>
                            </w:pPr>
                            <w:r>
                              <w:rPr>
                                <w:rFonts w:cs="Tahoma" w:ascii="Tahoma" w:hAnsi="Tahoma"/>
                                <w:sz w:val="20"/>
                              </w:rPr>
                              <w:t>The two mines under consideration in the PRB are non-union.  As a result, no investigation into collective bargaining agreements is necessary.  Compliance documentation with MSHA regulations will need to be provided in later due diligence. Both the North Rochelle and Buckskin mines draw from the immediate area to supplement their workforce.  Employee tenure has traditionally been longer than 5 years.  A younger workforce coupled with competition from neighboring mines has lead to a decrease in tenure in recent times.</w:t>
                            </w:r>
                          </w:p>
                          <w:p>
                            <w:pPr>
                              <w:pStyle w:val="Normal"/>
                              <w:ind w:firstLine="360" w:end="0"/>
                              <w:jc w:val="both"/>
                              <w:rPr>
                                <w:rFonts w:ascii="Tahoma" w:hAnsi="Tahoma" w:cs="Tahoma"/>
                                <w:sz w:val="20"/>
                              </w:rPr>
                            </w:pPr>
                            <w:r>
                              <w:rPr>
                                <w:rFonts w:cs="Tahoma" w:ascii="Tahoma" w:hAnsi="Tahoma"/>
                                <w:sz w:val="20"/>
                              </w:rPr>
                              <w:t>Promotion within the ranks of warehouse and mine workers is based on skill attainment.  General time guidelines are used as a promotion point.  New employees learn new skills by working alongside more experienced tradespersons.  The skill based promotion system is consistent with Enron’s performance based promotion system.</w:t>
                            </w:r>
                          </w:p>
                          <w:p>
                            <w:pPr>
                              <w:pStyle w:val="Normal"/>
                              <w:ind w:firstLine="360" w:end="0"/>
                              <w:jc w:val="both"/>
                              <w:rPr>
                                <w:rFonts w:ascii="Tahoma" w:hAnsi="Tahoma" w:cs="Tahoma"/>
                                <w:sz w:val="20"/>
                              </w:rPr>
                            </w:pPr>
                            <w:r>
                              <w:rPr>
                                <w:rFonts w:cs="Tahoma" w:ascii="Tahoma" w:hAnsi="Tahoma"/>
                                <w:sz w:val="20"/>
                              </w:rPr>
                              <w:t xml:space="preserve">The workforce appears to be cross-trained.  The training process builds on previously acquired skills.  This allows redeployment of individuals when mining is interrupted.  Management has provided projected increases in personnel over the next 3-5 years.  There appears to be a trend towards decreasing temporary staff while modestly increasing “skilled” positions. </w:t>
                            </w:r>
                          </w:p>
                          <w:p>
                            <w:pPr>
                              <w:pStyle w:val="Normal"/>
                              <w:ind w:firstLine="360" w:end="0"/>
                              <w:jc w:val="both"/>
                              <w:rPr>
                                <w:rFonts w:ascii="Tahoma" w:hAnsi="Tahoma" w:cs="Tahoma"/>
                                <w:sz w:val="20"/>
                              </w:rPr>
                            </w:pPr>
                            <w:r>
                              <w:rPr>
                                <w:rFonts w:cs="Tahoma" w:ascii="Tahoma" w:hAnsi="Tahoma"/>
                                <w:sz w:val="20"/>
                              </w:rPr>
                              <w:t>Items that will be provided during final due diligence will provide Enron with a more detailed view of the current workforce.  Personnel demographics, job descriptions, organization charts allow Enron to better determine the workforce structure.</w:t>
                            </w:r>
                          </w:p>
                          <w:p>
                            <w:pPr>
                              <w:pStyle w:val="BodyText2"/>
                              <w:autoSpaceDE w:val="true"/>
                              <w:rPr>
                                <w:rFonts w:ascii="Tahoma" w:hAnsi="Tahoma" w:cs="Tahoma"/>
                              </w:rPr>
                            </w:pPr>
                            <w:r>
                              <w:rPr>
                                <w:rFonts w:cs="Tahoma" w:ascii="Tahoma" w:hAnsi="Tahoma"/>
                              </w:rPr>
                            </w:r>
                          </w:p>
                          <w:p>
                            <w:pPr>
                              <w:pStyle w:val="Normal"/>
                              <w:rPr>
                                <w:rFonts w:ascii="Tahoma" w:hAnsi="Tahoma" w:cs="Tahoma"/>
                                <w:sz w:val="20"/>
                              </w:rPr>
                            </w:pPr>
                            <w:r>
                              <w:rPr>
                                <w:rFonts w:cs="Tahoma" w:ascii="Tahoma" w:hAnsi="Tahoma"/>
                                <w:sz w:val="20"/>
                              </w:rPr>
                            </w:r>
                          </w:p>
                          <w:p>
                            <w:pPr>
                              <w:pStyle w:val="Normal"/>
                              <w:ind w:end="0"/>
                              <w:rPr>
                                <w:rFonts w:ascii="Tahoma" w:hAnsi="Tahoma" w:cs="Tahoma"/>
                                <w:sz w:val="20"/>
                              </w:rPr>
                            </w:pPr>
                            <w:r>
                              <w:rPr>
                                <w:rFonts w:cs="Tahoma" w:ascii="Tahoma" w:hAnsi="Tahoma"/>
                                <w:sz w:val="20"/>
                              </w:rPr>
                            </w:r>
                          </w:p>
                        </w:txbxContent>
                      </wps:txbx>
                      <wps:bodyPr anchor="t" lIns="68580" tIns="22860" rIns="68580" bIns="22860">
                        <a:noAutofit/>
                      </wps:bodyPr>
                    </wps:wsp>
                  </a:graphicData>
                </a:graphic>
              </wp:anchor>
            </w:drawing>
          </mc:Choice>
          <mc:Fallback>
            <w:pict>
              <v:rect fillcolor="#FFFFFF" strokecolor="#000000" strokeweight="3pt" style="position:absolute;rotation:-0;width:441.9pt;height:248pt;mso-wrap-distance-left:9.05pt;mso-wrap-distance-right:9.05pt;mso-wrap-distance-top:0pt;mso-wrap-distance-bottom:0pt;margin-top:27.55pt;mso-position-vertical-relative:text;margin-left:35.55pt;mso-position-horizontal-relative:text">
                <v:textbox inset="0.075in,0.025in,0.075in,0.025in">
                  <w:txbxContent>
                    <w:p>
                      <w:pPr>
                        <w:pStyle w:val="Heading2"/>
                        <w:ind w:hanging="0" w:start="0"/>
                        <w:rPr>
                          <w:rFonts w:ascii="Castellar" w:hAnsi="Castellar" w:cs="Castellar"/>
                          <w:sz w:val="20"/>
                        </w:rPr>
                      </w:pPr>
                      <w:r>
                        <w:rPr>
                          <w:rFonts w:cs="Castellar" w:ascii="Castellar" w:hAnsi="Castellar"/>
                          <w:sz w:val="20"/>
                        </w:rPr>
                        <w:t>OBSERVATIONS / Recommendations</w:t>
                      </w:r>
                    </w:p>
                    <w:p>
                      <w:pPr>
                        <w:pStyle w:val="Normal"/>
                        <w:ind w:firstLine="360" w:end="0"/>
                        <w:jc w:val="both"/>
                        <w:rPr>
                          <w:rFonts w:ascii="Tahoma" w:hAnsi="Tahoma" w:cs="Tahoma"/>
                          <w:sz w:val="20"/>
                        </w:rPr>
                      </w:pPr>
                      <w:r>
                        <w:rPr>
                          <w:rFonts w:cs="Tahoma" w:ascii="Tahoma" w:hAnsi="Tahoma"/>
                          <w:sz w:val="20"/>
                        </w:rPr>
                        <w:t>The two mines under consideration in the PRB are non-union.  As a result, no investigation into collective bargaining agreements is necessary.  Compliance documentation with MSHA regulations will need to be provided in later due diligence. Both the North Rochelle and Buckskin mines draw from the immediate area to supplement their workforce.  Employee tenure has traditionally been longer than 5 years.  A younger workforce coupled with competition from neighboring mines has lead to a decrease in tenure in recent times.</w:t>
                      </w:r>
                    </w:p>
                    <w:p>
                      <w:pPr>
                        <w:pStyle w:val="Normal"/>
                        <w:ind w:firstLine="360" w:end="0"/>
                        <w:jc w:val="both"/>
                        <w:rPr>
                          <w:rFonts w:ascii="Tahoma" w:hAnsi="Tahoma" w:cs="Tahoma"/>
                          <w:sz w:val="20"/>
                        </w:rPr>
                      </w:pPr>
                      <w:r>
                        <w:rPr>
                          <w:rFonts w:cs="Tahoma" w:ascii="Tahoma" w:hAnsi="Tahoma"/>
                          <w:sz w:val="20"/>
                        </w:rPr>
                        <w:t>Promotion within the ranks of warehouse and mine workers is based on skill attainment.  General time guidelines are used as a promotion point.  New employees learn new skills by working alongside more experienced tradespersons.  The skill based promotion system is consistent with Enron’s performance based promotion system.</w:t>
                      </w:r>
                    </w:p>
                    <w:p>
                      <w:pPr>
                        <w:pStyle w:val="Normal"/>
                        <w:ind w:firstLine="360" w:end="0"/>
                        <w:jc w:val="both"/>
                        <w:rPr>
                          <w:rFonts w:ascii="Tahoma" w:hAnsi="Tahoma" w:cs="Tahoma"/>
                          <w:sz w:val="20"/>
                        </w:rPr>
                      </w:pPr>
                      <w:r>
                        <w:rPr>
                          <w:rFonts w:cs="Tahoma" w:ascii="Tahoma" w:hAnsi="Tahoma"/>
                          <w:sz w:val="20"/>
                        </w:rPr>
                        <w:t xml:space="preserve">The workforce appears to be cross-trained.  The training process builds on previously acquired skills.  This allows redeployment of individuals when mining is interrupted.  Management has provided projected increases in personnel over the next 3-5 years.  There appears to be a trend towards decreasing temporary staff while modestly increasing “skilled” positions. </w:t>
                      </w:r>
                    </w:p>
                    <w:p>
                      <w:pPr>
                        <w:pStyle w:val="Normal"/>
                        <w:ind w:firstLine="360" w:end="0"/>
                        <w:jc w:val="both"/>
                        <w:rPr>
                          <w:rFonts w:ascii="Tahoma" w:hAnsi="Tahoma" w:cs="Tahoma"/>
                          <w:sz w:val="20"/>
                        </w:rPr>
                      </w:pPr>
                      <w:r>
                        <w:rPr>
                          <w:rFonts w:cs="Tahoma" w:ascii="Tahoma" w:hAnsi="Tahoma"/>
                          <w:sz w:val="20"/>
                        </w:rPr>
                        <w:t>Items that will be provided during final due diligence will provide Enron with a more detailed view of the current workforce.  Personnel demographics, job descriptions, organization charts allow Enron to better determine the workforce structure.</w:t>
                      </w:r>
                    </w:p>
                    <w:p>
                      <w:pPr>
                        <w:pStyle w:val="BodyText2"/>
                        <w:autoSpaceDE w:val="true"/>
                        <w:rPr>
                          <w:rFonts w:ascii="Tahoma" w:hAnsi="Tahoma" w:cs="Tahoma"/>
                        </w:rPr>
                      </w:pPr>
                      <w:r>
                        <w:rPr>
                          <w:rFonts w:cs="Tahoma" w:ascii="Tahoma" w:hAnsi="Tahoma"/>
                        </w:rPr>
                      </w:r>
                    </w:p>
                    <w:p>
                      <w:pPr>
                        <w:pStyle w:val="Normal"/>
                        <w:rPr>
                          <w:rFonts w:ascii="Tahoma" w:hAnsi="Tahoma" w:cs="Tahoma"/>
                          <w:sz w:val="20"/>
                        </w:rPr>
                      </w:pPr>
                      <w:r>
                        <w:rPr>
                          <w:rFonts w:cs="Tahoma" w:ascii="Tahoma" w:hAnsi="Tahoma"/>
                          <w:sz w:val="20"/>
                        </w:rPr>
                      </w:r>
                    </w:p>
                    <w:p>
                      <w:pPr>
                        <w:pStyle w:val="Normal"/>
                        <w:ind w:end="0"/>
                        <w:rPr>
                          <w:rFonts w:ascii="Tahoma" w:hAnsi="Tahoma" w:cs="Tahoma"/>
                          <w:sz w:val="20"/>
                        </w:rPr>
                      </w:pPr>
                      <w:r>
                        <w:rPr>
                          <w:rFonts w:cs="Tahoma" w:ascii="Tahoma" w:hAnsi="Tahoma"/>
                          <w:sz w:val="20"/>
                        </w:rPr>
                      </w:r>
                    </w:p>
                  </w:txbxContent>
                </v:textbox>
                <w10:wrap type="none"/>
              </v:rect>
            </w:pict>
          </mc:Fallback>
        </mc:AlternateContent>
      </w:r>
    </w:p>
    <w:p>
      <w:pPr>
        <w:pStyle w:val="Heading1"/>
        <w:ind w:hanging="0" w:start="0"/>
        <w:jc w:val="start"/>
        <w:rPr/>
      </w:pPr>
      <w:r>
        <w:rPr/>
        <w:t>Benefits</w:t>
      </w:r>
    </w:p>
    <w:p>
      <w:pPr>
        <w:pStyle w:val="Normal"/>
        <w:rPr/>
      </w:pPr>
      <w:r>
        <w:rPr/>
      </w:r>
    </w:p>
    <w:p>
      <w:pPr>
        <w:pStyle w:val="Heading5"/>
        <w:rPr>
          <w:rFonts w:cs="Times New Roman"/>
        </w:rPr>
      </w:pPr>
      <w:r>
        <w:rPr>
          <w:rFonts w:cs="Times New Roman"/>
        </w:rPr>
        <w:t>Feedback</w:t>
      </w:r>
    </w:p>
    <w:p>
      <w:pPr>
        <w:pStyle w:val="Normal"/>
        <w:jc w:val="both"/>
        <w:rPr>
          <w:rFonts w:ascii="Tahoma" w:hAnsi="Tahoma" w:cs="Tahoma"/>
          <w:b/>
          <w:bCs/>
        </w:rPr>
      </w:pPr>
      <w:r>
        <w:rPr>
          <w:rFonts w:cs="Tahoma" w:ascii="Tahoma" w:hAnsi="Tahoma"/>
          <w:b/>
          <w:bCs/>
        </w:rPr>
      </w:r>
    </w:p>
    <w:p>
      <w:pPr>
        <w:pStyle w:val="Normal"/>
        <w:numPr>
          <w:ilvl w:val="0"/>
          <w:numId w:val="16"/>
        </w:numPr>
        <w:rPr>
          <w:rFonts w:ascii="Tahoma" w:hAnsi="Tahoma" w:cs="Tahoma"/>
          <w:sz w:val="20"/>
        </w:rPr>
      </w:pPr>
      <w:r>
        <w:rPr>
          <w:rFonts w:cs="Tahoma" w:ascii="Tahoma" w:hAnsi="Tahoma"/>
          <w:b/>
          <w:bCs/>
          <w:sz w:val="20"/>
        </w:rPr>
        <w:t>Paid Time Off</w:t>
      </w:r>
      <w:r>
        <w:rPr>
          <w:rFonts w:cs="Tahoma" w:ascii="Tahoma" w:hAnsi="Tahoma"/>
          <w:sz w:val="20"/>
        </w:rPr>
        <w:t>:  The company has 8 paid holidays and 2 floating days</w:t>
      </w:r>
    </w:p>
    <w:p>
      <w:pPr>
        <w:pStyle w:val="Normal"/>
        <w:numPr>
          <w:ilvl w:val="0"/>
          <w:numId w:val="4"/>
        </w:numPr>
        <w:rPr>
          <w:rFonts w:ascii="Tahoma" w:hAnsi="Tahoma" w:cs="Tahoma"/>
          <w:sz w:val="20"/>
        </w:rPr>
      </w:pPr>
      <w:r>
        <w:rPr>
          <w:rFonts w:cs="Tahoma" w:ascii="Tahoma" w:hAnsi="Tahoma"/>
          <w:b/>
          <w:bCs/>
          <w:sz w:val="20"/>
        </w:rPr>
        <w:t>Vacation accruals</w:t>
      </w:r>
      <w:r>
        <w:rPr>
          <w:rFonts w:cs="Tahoma" w:ascii="Tahoma" w:hAnsi="Tahoma"/>
          <w:sz w:val="20"/>
        </w:rPr>
        <w:t>:</w:t>
      </w:r>
    </w:p>
    <w:p>
      <w:pPr>
        <w:pStyle w:val="Normal"/>
        <w:ind w:start="1080" w:end="0"/>
        <w:rPr>
          <w:rFonts w:ascii="Tahoma" w:hAnsi="Tahoma" w:cs="Tahoma"/>
          <w:sz w:val="20"/>
        </w:rPr>
      </w:pPr>
      <w:r>
        <w:rPr>
          <w:rFonts w:cs="Tahoma" w:ascii="Tahoma" w:hAnsi="Tahoma"/>
          <w:sz w:val="20"/>
        </w:rPr>
        <w:t>Up to 5 yrs = 80 hrs</w:t>
      </w:r>
    </w:p>
    <w:p>
      <w:pPr>
        <w:pStyle w:val="Normal"/>
        <w:ind w:start="1080" w:end="0"/>
        <w:rPr>
          <w:rFonts w:ascii="Tahoma" w:hAnsi="Tahoma" w:cs="Tahoma"/>
          <w:sz w:val="20"/>
        </w:rPr>
      </w:pPr>
      <w:r>
        <w:rPr>
          <w:rFonts w:cs="Tahoma" w:ascii="Tahoma" w:hAnsi="Tahoma"/>
          <w:sz w:val="20"/>
        </w:rPr>
        <w:t>Up to 10 yrs = 120 hrs</w:t>
      </w:r>
    </w:p>
    <w:p>
      <w:pPr>
        <w:pStyle w:val="Normal"/>
        <w:ind w:start="1080" w:end="0"/>
        <w:rPr>
          <w:rFonts w:ascii="Tahoma" w:hAnsi="Tahoma" w:cs="Tahoma"/>
          <w:sz w:val="20"/>
        </w:rPr>
      </w:pPr>
      <w:r>
        <w:rPr>
          <w:rFonts w:cs="Tahoma" w:ascii="Tahoma" w:hAnsi="Tahoma"/>
          <w:sz w:val="20"/>
        </w:rPr>
        <w:t>Up to 20 yrs = 160 hours</w:t>
      </w:r>
    </w:p>
    <w:p>
      <w:pPr>
        <w:pStyle w:val="Normal"/>
        <w:ind w:start="1080" w:end="0"/>
        <w:rPr>
          <w:rFonts w:ascii="Tahoma" w:hAnsi="Tahoma" w:cs="Tahoma"/>
          <w:sz w:val="20"/>
        </w:rPr>
      </w:pPr>
      <w:r>
        <w:rPr>
          <w:rFonts w:cs="Tahoma" w:ascii="Tahoma" w:hAnsi="Tahoma"/>
          <w:sz w:val="20"/>
        </w:rPr>
        <w:t>20+ yrs = 200 hours</w:t>
      </w:r>
    </w:p>
    <w:p>
      <w:pPr>
        <w:pStyle w:val="Normal"/>
        <w:numPr>
          <w:ilvl w:val="0"/>
          <w:numId w:val="2"/>
        </w:numPr>
        <w:rPr>
          <w:rFonts w:ascii="Tahoma" w:hAnsi="Tahoma" w:cs="Tahoma"/>
          <w:b/>
          <w:bCs/>
          <w:sz w:val="20"/>
        </w:rPr>
      </w:pPr>
      <w:r>
        <w:rPr>
          <w:rFonts w:cs="Tahoma" w:ascii="Tahoma" w:hAnsi="Tahoma"/>
          <w:b/>
          <w:bCs/>
          <w:sz w:val="20"/>
        </w:rPr>
        <w:t>Retiree Medical and Life Insurance Plan</w:t>
      </w:r>
      <w:r>
        <w:rPr>
          <w:rFonts w:cs="Tahoma" w:ascii="Tahoma" w:hAnsi="Tahoma"/>
          <w:sz w:val="20"/>
        </w:rPr>
        <w:t xml:space="preserve"> (9 retirees receiving medical insurance)</w:t>
      </w:r>
    </w:p>
    <w:p>
      <w:pPr>
        <w:pStyle w:val="Normal"/>
        <w:numPr>
          <w:ilvl w:val="0"/>
          <w:numId w:val="2"/>
        </w:numPr>
        <w:rPr>
          <w:rFonts w:ascii="Tahoma" w:hAnsi="Tahoma" w:cs="Tahoma"/>
          <w:sz w:val="20"/>
        </w:rPr>
      </w:pPr>
      <w:r>
        <w:rPr>
          <w:rFonts w:cs="Tahoma" w:ascii="Tahoma" w:hAnsi="Tahoma"/>
          <w:b/>
          <w:bCs/>
          <w:sz w:val="20"/>
        </w:rPr>
        <w:t>Short Term Disability Plan</w:t>
      </w:r>
      <w:r>
        <w:rPr>
          <w:rFonts w:cs="Tahoma" w:ascii="Tahoma" w:hAnsi="Tahoma"/>
          <w:sz w:val="20"/>
        </w:rPr>
        <w:t xml:space="preserve"> (pay practice for sick pay)  </w:t>
      </w:r>
    </w:p>
    <w:p>
      <w:pPr>
        <w:pStyle w:val="Normal"/>
        <w:numPr>
          <w:ilvl w:val="0"/>
          <w:numId w:val="2"/>
        </w:numPr>
        <w:rPr>
          <w:rFonts w:ascii="Tahoma" w:hAnsi="Tahoma" w:cs="Tahoma"/>
          <w:b/>
          <w:bCs/>
          <w:sz w:val="20"/>
        </w:rPr>
      </w:pPr>
      <w:r>
        <w:rPr>
          <w:rFonts w:cs="Tahoma" w:ascii="Tahoma" w:hAnsi="Tahoma"/>
          <w:b/>
          <w:bCs/>
          <w:sz w:val="20"/>
        </w:rPr>
        <w:t>Long Term Disability Benefit Plan &amp; Group Life and AD&amp;D Plan</w:t>
      </w:r>
    </w:p>
    <w:p>
      <w:pPr>
        <w:pStyle w:val="BodyTextIndent3"/>
        <w:rPr>
          <w:rFonts w:ascii="Tahoma" w:hAnsi="Tahoma" w:cs="Tahoma"/>
          <w:sz w:val="20"/>
        </w:rPr>
      </w:pPr>
      <w:r>
        <w:rPr>
          <w:rFonts w:cs="Tahoma" w:ascii="Tahoma" w:hAnsi="Tahoma"/>
          <w:sz w:val="20"/>
        </w:rPr>
        <w:t>(ReliaStar Life Insurance Co.  Group Policy Number is GL,H-29412-8. Schedule of Benefits supplied)</w:t>
      </w:r>
    </w:p>
    <w:p>
      <w:pPr>
        <w:pStyle w:val="BodyTextIndent3"/>
        <w:numPr>
          <w:ilvl w:val="0"/>
          <w:numId w:val="11"/>
        </w:numPr>
        <w:rPr>
          <w:rFonts w:ascii="Tahoma" w:hAnsi="Tahoma" w:cs="Tahoma"/>
          <w:b/>
          <w:bCs/>
          <w:sz w:val="20"/>
        </w:rPr>
      </w:pPr>
      <w:r>
        <w:rPr>
          <w:rFonts w:cs="Tahoma" w:ascii="Tahoma" w:hAnsi="Tahoma"/>
          <w:b/>
          <w:bCs/>
          <w:sz w:val="20"/>
        </w:rPr>
        <w:t xml:space="preserve">Dependent Life Insurance Plan </w:t>
      </w:r>
    </w:p>
    <w:p>
      <w:pPr>
        <w:pStyle w:val="BodyTextIndent3"/>
        <w:numPr>
          <w:ilvl w:val="0"/>
          <w:numId w:val="11"/>
        </w:numPr>
        <w:rPr>
          <w:rFonts w:ascii="Tahoma" w:hAnsi="Tahoma" w:cs="Tahoma"/>
          <w:sz w:val="20"/>
        </w:rPr>
      </w:pPr>
      <w:r>
        <w:rPr>
          <w:rFonts w:cs="Tahoma" w:ascii="Tahoma" w:hAnsi="Tahoma"/>
          <w:sz w:val="20"/>
        </w:rPr>
        <w:t>Disability Income Insurance – Monthly Income Benefits</w:t>
      </w:r>
    </w:p>
    <w:p>
      <w:pPr>
        <w:pStyle w:val="BodyTextIndent3"/>
        <w:numPr>
          <w:ilvl w:val="0"/>
          <w:numId w:val="6"/>
        </w:numPr>
        <w:rPr>
          <w:rFonts w:ascii="Tahoma" w:hAnsi="Tahoma" w:cs="Tahoma"/>
          <w:sz w:val="20"/>
        </w:rPr>
      </w:pPr>
      <w:r>
        <w:rPr>
          <w:rFonts w:cs="Tahoma" w:ascii="Tahoma" w:hAnsi="Tahoma"/>
          <w:b/>
          <w:bCs/>
          <w:sz w:val="20"/>
        </w:rPr>
        <w:t>Medical and Dental Benefit Plan</w:t>
      </w:r>
      <w:r>
        <w:rPr>
          <w:rFonts w:cs="Tahoma" w:ascii="Tahoma" w:hAnsi="Tahoma"/>
          <w:sz w:val="20"/>
        </w:rPr>
        <w:t xml:space="preserve"> (self funded health and dental benefit plan not an insured plan).  Sponsored and administrated by Triton Coal Company, LLC.  Claims Supervisor: Blue Cross Blue Shield of Wyoming</w:t>
      </w:r>
    </w:p>
    <w:p>
      <w:pPr>
        <w:pStyle w:val="BodyTextIndent3"/>
        <w:numPr>
          <w:ilvl w:val="1"/>
          <w:numId w:val="6"/>
        </w:numPr>
        <w:rPr>
          <w:rFonts w:ascii="Tahoma" w:hAnsi="Tahoma" w:cs="Tahoma"/>
          <w:sz w:val="20"/>
        </w:rPr>
      </w:pPr>
      <w:r>
        <w:rPr>
          <w:rFonts w:cs="Tahoma" w:ascii="Tahoma" w:hAnsi="Tahoma"/>
          <w:sz w:val="20"/>
        </w:rPr>
        <w:t xml:space="preserve">Cafeteria Health Plan - Premium Conversion, Health Care Reimbursement Spending Account, Dependent Care Reimbursement Spending Account, Cash Benefit. </w:t>
      </w:r>
    </w:p>
    <w:p>
      <w:pPr>
        <w:pStyle w:val="BodyTextIndent3"/>
        <w:numPr>
          <w:ilvl w:val="0"/>
          <w:numId w:val="6"/>
        </w:numPr>
        <w:rPr>
          <w:rFonts w:ascii="Tahoma" w:hAnsi="Tahoma" w:cs="Tahoma"/>
          <w:sz w:val="20"/>
        </w:rPr>
      </w:pPr>
      <w:r>
        <w:rPr>
          <w:rFonts w:cs="Tahoma" w:ascii="Tahoma" w:hAnsi="Tahoma"/>
          <w:b/>
          <w:bCs/>
          <w:sz w:val="20"/>
        </w:rPr>
        <w:t>Pension Plan</w:t>
      </w:r>
      <w:r>
        <w:rPr>
          <w:rFonts w:cs="Tahoma" w:ascii="Tahoma" w:hAnsi="Tahoma"/>
          <w:sz w:val="20"/>
        </w:rPr>
        <w:t xml:space="preserve"> (Defined benefit cash balance account plan).  Trustee of the Plan is Union Planters Bank, N.A. of Bellville, IL.  </w:t>
      </w:r>
    </w:p>
    <w:p>
      <w:pPr>
        <w:pStyle w:val="Normal"/>
        <w:numPr>
          <w:ilvl w:val="0"/>
          <w:numId w:val="11"/>
        </w:numPr>
        <w:rPr>
          <w:rFonts w:ascii="Tahoma" w:hAnsi="Tahoma" w:cs="Tahoma"/>
          <w:sz w:val="20"/>
        </w:rPr>
      </w:pPr>
      <w:r>
        <w:rPr>
          <w:rFonts w:cs="Tahoma" w:ascii="Tahoma" w:hAnsi="Tahoma"/>
          <w:b/>
          <w:sz w:val="20"/>
        </w:rPr>
        <w:t>401(k)</w:t>
      </w:r>
      <w:r>
        <w:rPr>
          <w:rFonts w:cs="Tahoma" w:ascii="Tahoma" w:hAnsi="Tahoma"/>
          <w:bCs/>
          <w:sz w:val="20"/>
        </w:rPr>
        <w:t xml:space="preserve"> Plan (D</w:t>
      </w:r>
      <w:r>
        <w:rPr>
          <w:rFonts w:cs="Tahoma" w:ascii="Tahoma" w:hAnsi="Tahoma"/>
          <w:sz w:val="20"/>
        </w:rPr>
        <w:t>efined contribution individual account 401(k) plan)</w:t>
      </w:r>
    </w:p>
    <w:p>
      <w:pPr>
        <w:pStyle w:val="BodyTextIndent3"/>
        <w:ind w:start="360" w:end="0"/>
        <w:rPr>
          <w:rFonts w:ascii="Tahoma" w:hAnsi="Tahoma" w:cs="Tahoma"/>
          <w:bCs/>
          <w:sz w:val="20"/>
        </w:rPr>
      </w:pPr>
      <w:r>
        <w:rPr>
          <w:rFonts w:cs="Tahoma" w:ascii="Tahoma" w:hAnsi="Tahoma"/>
          <w:bCs/>
          <w:sz w:val="20"/>
        </w:rPr>
      </w:r>
    </w:p>
    <w:p>
      <w:pPr>
        <w:pStyle w:val="Heading2"/>
        <w:ind w:hanging="0" w:start="0"/>
        <w:rPr>
          <w:rFonts w:ascii="Castellar" w:hAnsi="Castellar" w:cs="Castellar"/>
          <w:sz w:val="20"/>
        </w:rPr>
      </w:pPr>
      <w:r>
        <w:rPr>
          <w:rFonts w:cs="Castellar" w:ascii="Castellar" w:hAnsi="Castellar"/>
          <w:sz w:val="20"/>
        </w:rPr>
        <w:t>To be provided in final due diligence:</w:t>
      </w:r>
    </w:p>
    <w:p>
      <w:pPr>
        <w:pStyle w:val="Normal"/>
        <w:numPr>
          <w:ilvl w:val="0"/>
          <w:numId w:val="0"/>
        </w:numPr>
        <w:ind w:hanging="0" w:start="0"/>
        <w:rPr>
          <w:rFonts w:ascii="Tahoma" w:hAnsi="Tahoma" w:cs="Tahoma"/>
          <w:b/>
          <w:bCs/>
          <w:sz w:val="20"/>
        </w:rPr>
      </w:pPr>
      <w:r>
        <w:rPr>
          <w:rFonts w:cs="Tahoma" w:ascii="Tahoma" w:hAnsi="Tahoma"/>
          <w:b/>
          <w:bCs/>
          <w:sz w:val="20"/>
        </w:rPr>
      </w:r>
    </w:p>
    <w:p>
      <w:pPr>
        <w:pStyle w:val="Normal"/>
        <w:numPr>
          <w:ilvl w:val="0"/>
          <w:numId w:val="12"/>
        </w:numPr>
        <w:spacing w:before="0" w:after="120"/>
        <w:jc w:val="both"/>
        <w:rPr>
          <w:rFonts w:ascii="Tahoma" w:hAnsi="Tahoma" w:cs="Tahoma"/>
          <w:sz w:val="20"/>
        </w:rPr>
      </w:pPr>
      <w:r>
        <w:rPr>
          <w:rFonts w:cs="Tahoma" w:ascii="Tahoma" w:hAnsi="Tahoma"/>
          <w:sz w:val="20"/>
        </w:rPr>
        <w:t>Copies of retirement and deferred compensation plans, summary descriptions, appropriate Form 5500 filings and current actuarial reports.</w:t>
      </w:r>
    </w:p>
    <w:p>
      <w:pPr>
        <w:pStyle w:val="Normal"/>
        <w:numPr>
          <w:ilvl w:val="0"/>
          <w:numId w:val="12"/>
        </w:numPr>
        <w:spacing w:before="0" w:after="120"/>
        <w:jc w:val="both"/>
        <w:rPr>
          <w:rFonts w:ascii="Tahoma" w:hAnsi="Tahoma" w:cs="Tahoma"/>
          <w:sz w:val="20"/>
        </w:rPr>
      </w:pPr>
      <w:r>
        <w:rPr>
          <w:rFonts w:cs="Tahoma" w:ascii="Tahoma" w:hAnsi="Tahoma"/>
          <w:sz w:val="20"/>
        </w:rPr>
        <w:t>Copies of the plan documents (including insurance contracts) for such plans, we need to see the plan documents.</w:t>
      </w:r>
    </w:p>
    <w:p>
      <w:pPr>
        <w:pStyle w:val="Normal"/>
        <w:numPr>
          <w:ilvl w:val="0"/>
          <w:numId w:val="12"/>
        </w:numPr>
        <w:spacing w:before="0" w:after="120"/>
        <w:jc w:val="both"/>
        <w:rPr>
          <w:rFonts w:ascii="Tahoma" w:hAnsi="Tahoma" w:cs="Tahoma"/>
          <w:sz w:val="20"/>
        </w:rPr>
      </w:pPr>
      <w:r>
        <w:rPr>
          <w:rFonts w:cs="Tahoma" w:ascii="Tahoma" w:hAnsi="Tahoma"/>
          <w:sz w:val="20"/>
        </w:rPr>
        <w:t>Benefit Costs by plan.</w:t>
      </w:r>
    </w:p>
    <w:p>
      <w:pPr>
        <w:pStyle w:val="BodyTextIndent2"/>
        <w:numPr>
          <w:ilvl w:val="0"/>
          <w:numId w:val="12"/>
        </w:numPr>
        <w:spacing w:before="0" w:after="120"/>
        <w:jc w:val="both"/>
        <w:rPr>
          <w:rFonts w:ascii="Tahoma" w:hAnsi="Tahoma" w:cs="Tahoma"/>
          <w:sz w:val="20"/>
        </w:rPr>
      </w:pPr>
      <w:r>
        <w:rPr>
          <w:rFonts w:cs="Tahoma" w:ascii="Tahoma" w:hAnsi="Tahoma"/>
          <w:sz w:val="20"/>
        </w:rPr>
        <w:t>Copies of reports on forms 5500s or 990s for the last 2 years.</w:t>
      </w:r>
    </w:p>
    <w:p>
      <w:pPr>
        <w:pStyle w:val="BodyTextIndent2"/>
        <w:numPr>
          <w:ilvl w:val="0"/>
          <w:numId w:val="12"/>
        </w:numPr>
        <w:spacing w:before="0" w:after="120"/>
        <w:jc w:val="both"/>
        <w:rPr>
          <w:rFonts w:ascii="Tahoma" w:hAnsi="Tahoma" w:cs="Tahoma"/>
          <w:sz w:val="20"/>
        </w:rPr>
      </w:pPr>
      <w:r>
        <w:rPr>
          <w:rFonts w:cs="Tahoma" w:ascii="Tahoma" w:hAnsi="Tahoma"/>
          <w:sz w:val="20"/>
        </w:rPr>
        <w:t>Internal/External audit findings (formal management letter) for each plan.</w:t>
      </w:r>
    </w:p>
    <w:p>
      <w:pPr>
        <w:pStyle w:val="BodyText2"/>
        <w:numPr>
          <w:ilvl w:val="0"/>
          <w:numId w:val="12"/>
        </w:numPr>
        <w:autoSpaceDE w:val="true"/>
        <w:spacing w:before="0" w:after="120"/>
        <w:jc w:val="both"/>
        <w:rPr>
          <w:rFonts w:ascii="Tahoma" w:hAnsi="Tahoma" w:cs="Tahoma"/>
        </w:rPr>
      </w:pPr>
      <w:r>
        <w:rPr>
          <w:rFonts w:cs="Tahoma" w:ascii="Tahoma" w:hAnsi="Tahoma"/>
        </w:rPr>
        <w:t>Firm names, contact and address of 3rd party vendors and a brief description of services offered.  Trust documents should also be provided.</w:t>
      </w:r>
    </w:p>
    <w:p>
      <w:pPr>
        <w:pStyle w:val="Subtitle"/>
        <w:numPr>
          <w:ilvl w:val="0"/>
          <w:numId w:val="12"/>
        </w:numPr>
        <w:spacing w:before="0" w:after="120"/>
        <w:jc w:val="both"/>
        <w:rPr>
          <w:rFonts w:ascii="Tahoma" w:hAnsi="Tahoma" w:cs="Tahoma"/>
          <w:b w:val="false"/>
          <w:bCs w:val="false"/>
          <w:sz w:val="20"/>
        </w:rPr>
      </w:pPr>
      <w:r>
        <w:rPr>
          <w:rFonts w:cs="Tahoma" w:ascii="Tahoma" w:hAnsi="Tahoma"/>
          <w:b w:val="false"/>
          <w:bCs w:val="false"/>
          <w:sz w:val="20"/>
        </w:rPr>
        <w:t>Copies of retirement and deferred compensation plans, summary descriptions, appropriate Form 5500 filings and current actuarial reports.</w:t>
      </w:r>
    </w:p>
    <w:p>
      <w:pPr>
        <w:pStyle w:val="BodyTextIndent2"/>
        <w:numPr>
          <w:ilvl w:val="0"/>
          <w:numId w:val="12"/>
        </w:numPr>
        <w:spacing w:before="0" w:after="120"/>
        <w:jc w:val="both"/>
        <w:rPr>
          <w:rFonts w:ascii="Tahoma" w:hAnsi="Tahoma" w:cs="Tahoma"/>
          <w:sz w:val="20"/>
        </w:rPr>
      </w:pPr>
      <w:r>
        <w:rPr>
          <w:rFonts w:cs="Tahoma" w:ascii="Tahoma" w:hAnsi="Tahoma"/>
          <w:sz w:val="20"/>
        </w:rPr>
        <w:t>Pension benefit test results for the last two years (415, ADP, ACP).</w:t>
      </w:r>
    </w:p>
    <w:p>
      <w:pPr>
        <w:pStyle w:val="BodyTextIndent2"/>
        <w:numPr>
          <w:ilvl w:val="0"/>
          <w:numId w:val="12"/>
        </w:numPr>
        <w:spacing w:before="0" w:after="120"/>
        <w:jc w:val="both"/>
        <w:rPr>
          <w:rFonts w:ascii="Tahoma" w:hAnsi="Tahoma" w:cs="Tahoma"/>
          <w:sz w:val="20"/>
        </w:rPr>
      </w:pPr>
      <w:r>
        <w:rPr>
          <w:rFonts w:cs="Tahoma" w:ascii="Tahoma" w:hAnsi="Tahoma"/>
          <w:sz w:val="20"/>
        </w:rPr>
        <w:t>Details on any pending or open IRS filings, audits or plan termination.</w:t>
      </w:r>
    </w:p>
    <w:p>
      <w:pPr>
        <w:pStyle w:val="BodyTextIndent2"/>
        <w:numPr>
          <w:ilvl w:val="0"/>
          <w:numId w:val="12"/>
        </w:numPr>
        <w:spacing w:before="0" w:after="120"/>
        <w:jc w:val="both"/>
        <w:rPr>
          <w:rFonts w:ascii="Tahoma" w:hAnsi="Tahoma" w:cs="Tahoma"/>
          <w:sz w:val="20"/>
        </w:rPr>
      </w:pPr>
      <w:r>
        <w:rPr>
          <w:rFonts w:cs="Tahoma" w:ascii="Tahoma" w:hAnsi="Tahoma"/>
          <w:sz w:val="20"/>
        </w:rPr>
        <w:t>Benefit Costs by plan for last two years.</w:t>
      </w:r>
    </w:p>
    <w:p>
      <w:pPr>
        <w:pStyle w:val="BodyTextIndent2"/>
        <w:numPr>
          <w:ilvl w:val="0"/>
          <w:numId w:val="12"/>
        </w:numPr>
        <w:spacing w:before="0" w:after="120"/>
        <w:jc w:val="both"/>
        <w:rPr>
          <w:rFonts w:ascii="Tahoma" w:hAnsi="Tahoma" w:cs="Tahoma"/>
          <w:sz w:val="20"/>
        </w:rPr>
      </w:pPr>
      <w:r>
        <w:rPr>
          <w:rFonts w:cs="Tahoma" w:ascii="Tahoma" w:hAnsi="Tahoma"/>
          <w:sz w:val="20"/>
        </w:rPr>
        <w:t>Employee census by location, annual wage, years of service, titles.  Spreadsheet format preferred.</w:t>
      </w:r>
    </w:p>
    <w:p>
      <w:pPr>
        <w:pStyle w:val="BodyTextIndent2"/>
        <w:numPr>
          <w:ilvl w:val="0"/>
          <w:numId w:val="12"/>
        </w:numPr>
        <w:spacing w:before="0" w:after="120"/>
        <w:jc w:val="both"/>
        <w:rPr>
          <w:rFonts w:ascii="Tahoma" w:hAnsi="Tahoma" w:cs="Tahoma"/>
          <w:sz w:val="20"/>
        </w:rPr>
      </w:pPr>
      <w:r>
        <w:rPr>
          <w:rFonts w:cs="Tahoma" w:ascii="Tahoma" w:hAnsi="Tahoma"/>
          <w:sz w:val="20"/>
        </w:rPr>
        <w:t>Listing of retirees including a count, name, SSN, sex, date of birth, age, years of service, retirement date and years since retirement. If possible, would like this information in electronic form.</w:t>
      </w:r>
    </w:p>
    <w:p>
      <w:pPr>
        <w:pStyle w:val="Normal"/>
        <w:numPr>
          <w:ilvl w:val="0"/>
          <w:numId w:val="12"/>
        </w:numPr>
        <w:spacing w:before="0" w:after="120"/>
        <w:jc w:val="both"/>
        <w:rPr>
          <w:rFonts w:ascii="Tahoma" w:hAnsi="Tahoma" w:cs="Tahoma"/>
          <w:sz w:val="20"/>
        </w:rPr>
      </w:pPr>
      <w:r>
        <w:rPr>
          <w:rFonts w:cs="Tahoma" w:ascii="Tahoma" w:hAnsi="Tahoma"/>
          <w:sz w:val="20"/>
        </w:rPr>
        <w:t>Benefit test results for the last two years (415, ADP, ACP).</w:t>
      </w:r>
    </w:p>
    <w:p>
      <w:pPr>
        <w:pStyle w:val="BodyTextIndent2"/>
        <w:numPr>
          <w:ilvl w:val="0"/>
          <w:numId w:val="12"/>
        </w:numPr>
        <w:spacing w:before="0" w:after="120"/>
        <w:jc w:val="both"/>
        <w:rPr>
          <w:sz w:val="20"/>
        </w:rPr>
      </w:pPr>
      <w:r>
        <w:rPr>
          <w:rFonts w:cs="Tahoma" w:ascii="Tahoma" w:hAnsi="Tahoma"/>
          <w:sz w:val="20"/>
        </w:rPr>
        <w:t>Details on any pending or open IRS filings, audits or plan termination.</w:t>
      </w:r>
    </w:p>
    <w:p>
      <w:pPr>
        <w:pStyle w:val="Heading1"/>
        <w:numPr>
          <w:ilvl w:val="0"/>
          <w:numId w:val="0"/>
        </w:numPr>
        <w:jc w:val="start"/>
        <w:rPr>
          <w:sz w:val="20"/>
        </w:rPr>
      </w:pPr>
      <w:r>
        <w:rPr>
          <w:sz w:val="20"/>
        </w:rPr>
      </w:r>
      <w:r>
        <w:br w:type="page"/>
      </w:r>
      <w:r>
        <mc:AlternateContent>
          <mc:Choice Requires="wps">
            <w:drawing>
              <wp:anchor behindDoc="0" distT="0" distB="0" distL="114935" distR="114935" simplePos="0" locked="0" layoutInCell="1" allowOverlap="1" relativeHeight="4">
                <wp:simplePos x="0" y="0"/>
                <wp:positionH relativeFrom="column">
                  <wp:posOffset>108585</wp:posOffset>
                </wp:positionH>
                <wp:positionV relativeFrom="paragraph">
                  <wp:posOffset>370840</wp:posOffset>
                </wp:positionV>
                <wp:extent cx="5726430" cy="3440430"/>
                <wp:effectExtent l="0" t="0" r="0" b="0"/>
                <wp:wrapNone/>
                <wp:docPr id="6" name="Frame5"/>
                <a:graphic xmlns:a="http://schemas.openxmlformats.org/drawingml/2006/main">
                  <a:graphicData uri="http://schemas.microsoft.com/office/word/2010/wordprocessingShape">
                    <wps:wsp>
                      <wps:cNvSpPr txBox="1"/>
                      <wps:spPr>
                        <a:xfrm>
                          <a:off x="0" y="0"/>
                          <a:ext cx="5726430" cy="3440430"/>
                        </a:xfrm>
                        <a:prstGeom prst="rect"/>
                        <a:solidFill>
                          <a:srgbClr val="FFFFFF"/>
                        </a:solidFill>
                        <a:ln w="38100">
                          <a:solidFill>
                            <a:srgbClr val="000000"/>
                          </a:solidFill>
                        </a:ln>
                      </wps:spPr>
                      <wps:txbx>
                        <w:txbxContent>
                          <w:p>
                            <w:pPr>
                              <w:pStyle w:val="Heading2"/>
                              <w:ind w:hanging="0" w:start="0"/>
                              <w:rPr>
                                <w:rFonts w:ascii="Castellar" w:hAnsi="Castellar" w:cs="Tahoma"/>
                                <w:sz w:val="20"/>
                              </w:rPr>
                            </w:pPr>
                            <w:r>
                              <w:rPr>
                                <w:rFonts w:cs="Castellar" w:ascii="Castellar" w:hAnsi="Castellar"/>
                                <w:sz w:val="20"/>
                              </w:rPr>
                              <w:t>OBSERVATIONS / Recommendations</w:t>
                            </w:r>
                          </w:p>
                          <w:p>
                            <w:pPr>
                              <w:pStyle w:val="BodyText2"/>
                              <w:numPr>
                                <w:ilvl w:val="0"/>
                                <w:numId w:val="0"/>
                              </w:numPr>
                              <w:autoSpaceDE w:val="true"/>
                              <w:ind w:firstLine="360" w:start="0" w:end="0"/>
                              <w:jc w:val="both"/>
                              <w:rPr>
                                <w:rFonts w:ascii="Tahoma" w:hAnsi="Tahoma" w:cs="Tahoma"/>
                              </w:rPr>
                            </w:pPr>
                            <w:r>
                              <w:rPr>
                                <w:rFonts w:cs="Tahoma" w:ascii="Tahoma" w:hAnsi="Tahoma"/>
                              </w:rPr>
                              <w:t>Pat Mackin (Enron’s ERISA attorney) has already provided the group with his observations from the data room.  The benefits section of this due diligence is perhaps the most important area that the deal team will address from a Human Resources perspective.  Most of Pat’s observations were completed in the data room as copies of plan documents, compliance filings etc. were unable to be copied.  He has indicated the need to obtain copies of all plans and filings before the finalization of any deal goes through.</w:t>
                            </w:r>
                          </w:p>
                          <w:p>
                            <w:pPr>
                              <w:pStyle w:val="BodyText2"/>
                              <w:numPr>
                                <w:ilvl w:val="0"/>
                                <w:numId w:val="0"/>
                              </w:numPr>
                              <w:autoSpaceDE w:val="true"/>
                              <w:ind w:firstLine="360" w:start="0" w:end="0"/>
                              <w:jc w:val="both"/>
                              <w:rPr>
                                <w:rFonts w:ascii="Tahoma" w:hAnsi="Tahoma" w:cs="Tahoma"/>
                              </w:rPr>
                            </w:pPr>
                            <w:r>
                              <w:rPr>
                                <w:rFonts w:cs="Tahoma" w:ascii="Tahoma" w:hAnsi="Tahoma"/>
                              </w:rPr>
                              <w:t>Information (notes) regarding the plans listed above has been forwarded to the Enron Corp. Benefits team.  Two plan actuarials could be copied.  The team is currently in the process of providing a gap analysis on the different plans.  A consulting group who is responsible for Enron’s benefit plans is reviewing Triton’s plan actuarial.</w:t>
                            </w:r>
                          </w:p>
                          <w:p>
                            <w:pPr>
                              <w:pStyle w:val="BodyText2"/>
                              <w:numPr>
                                <w:ilvl w:val="0"/>
                                <w:numId w:val="0"/>
                              </w:numPr>
                              <w:autoSpaceDE w:val="true"/>
                              <w:ind w:firstLine="360" w:start="0" w:end="0"/>
                              <w:jc w:val="both"/>
                              <w:rPr>
                                <w:rFonts w:ascii="Tahoma" w:hAnsi="Tahoma" w:cs="Tahoma"/>
                              </w:rPr>
                            </w:pPr>
                            <w:r>
                              <w:rPr>
                                <w:rFonts w:cs="Tahoma" w:ascii="Tahoma" w:hAnsi="Tahoma"/>
                              </w:rPr>
                              <w:t>We will need to have benefit plan documents to fully assess the differences between Triton’s and Enron’s plan.  Following the gap analysis, the HR group will need to determine the differences between plans and a strategy to align the plans.</w:t>
                            </w:r>
                          </w:p>
                          <w:p>
                            <w:pPr>
                              <w:pStyle w:val="BodyText2"/>
                              <w:numPr>
                                <w:ilvl w:val="0"/>
                                <w:numId w:val="0"/>
                              </w:numPr>
                              <w:autoSpaceDE w:val="true"/>
                              <w:ind w:firstLine="360" w:start="0" w:end="0"/>
                              <w:jc w:val="both"/>
                              <w:rPr/>
                            </w:pPr>
                            <w:r>
                              <w:rPr>
                                <w:rFonts w:cs="Tahoma" w:ascii="Tahoma" w:hAnsi="Tahoma"/>
                              </w:rPr>
                              <w:t>Enron will need to determine the extent to which Triton’s plans are funded.  The medical and dental are a self-funded plan.  The other benefits are insured benefits.  If a stock sale is completed, Enron will “take on” any un-funded plans.</w:t>
                            </w:r>
                            <w:r>
                              <w:rPr>
                                <w:rFonts w:cs="Tahoma" w:ascii="Tahoma" w:hAnsi="Tahoma"/>
                                <w:b/>
                                <w:bCs/>
                              </w:rPr>
                              <w:t xml:space="preserve">  </w:t>
                            </w:r>
                            <w:r>
                              <w:rPr>
                                <w:rFonts w:cs="Tahoma" w:ascii="Tahoma" w:hAnsi="Tahoma"/>
                                <w:b/>
                                <w:bCs/>
                                <w:u w:val="single"/>
                              </w:rPr>
                              <w:t>This will affect the valuation of the final deal.  To reiterate, compliance and funding status documents must be made available in order to fully determine the status of Triton’s plans.</w:t>
                            </w:r>
                          </w:p>
                          <w:p>
                            <w:pPr>
                              <w:pStyle w:val="BodyText2"/>
                              <w:numPr>
                                <w:ilvl w:val="0"/>
                                <w:numId w:val="0"/>
                              </w:numPr>
                              <w:autoSpaceDE w:val="true"/>
                              <w:ind w:firstLine="360" w:start="0" w:end="0"/>
                              <w:jc w:val="both"/>
                              <w:rPr>
                                <w:rFonts w:ascii="Tahoma" w:hAnsi="Tahoma" w:cs="Tahoma"/>
                              </w:rPr>
                            </w:pPr>
                            <w:r>
                              <w:rPr>
                                <w:rFonts w:cs="Tahoma" w:ascii="Tahoma" w:hAnsi="Tahoma"/>
                              </w:rPr>
                              <w:t>The HR Mergers and Acquisition group will continue to update the deal team when determinations are made regarding plans.</w:t>
                            </w:r>
                          </w:p>
                          <w:p>
                            <w:pPr>
                              <w:pStyle w:val="Normal"/>
                              <w:rPr>
                                <w:rFonts w:ascii="Tahoma" w:hAnsi="Tahoma" w:cs="Tahoma"/>
                              </w:rPr>
                            </w:pPr>
                            <w:r>
                              <w:rPr>
                                <w:rFonts w:cs="Tahoma" w:ascii="Tahoma" w:hAnsi="Tahoma"/>
                              </w:rPr>
                            </w:r>
                          </w:p>
                        </w:txbxContent>
                      </wps:txbx>
                      <wps:bodyPr anchor="t" lIns="68580" tIns="22860" rIns="68580" bIns="22860">
                        <a:noAutofit/>
                      </wps:bodyPr>
                    </wps:wsp>
                  </a:graphicData>
                </a:graphic>
              </wp:anchor>
            </w:drawing>
          </mc:Choice>
          <mc:Fallback>
            <w:pict>
              <v:rect fillcolor="#FFFFFF" strokecolor="#000000" strokeweight="3pt" style="position:absolute;rotation:-0;width:450.9pt;height:270.9pt;mso-wrap-distance-left:9.05pt;mso-wrap-distance-right:9.05pt;mso-wrap-distance-top:0pt;mso-wrap-distance-bottom:0pt;margin-top:29.2pt;mso-position-vertical-relative:text;margin-left:8.55pt;mso-position-horizontal-relative:text">
                <v:textbox inset="0.075in,0.025in,0.075in,0.025in">
                  <w:txbxContent>
                    <w:p>
                      <w:pPr>
                        <w:pStyle w:val="Heading2"/>
                        <w:ind w:hanging="0" w:start="0"/>
                        <w:rPr>
                          <w:rFonts w:ascii="Castellar" w:hAnsi="Castellar" w:cs="Tahoma"/>
                          <w:sz w:val="20"/>
                        </w:rPr>
                      </w:pPr>
                      <w:r>
                        <w:rPr>
                          <w:rFonts w:cs="Castellar" w:ascii="Castellar" w:hAnsi="Castellar"/>
                          <w:sz w:val="20"/>
                        </w:rPr>
                        <w:t>OBSERVATIONS / Recommendations</w:t>
                      </w:r>
                    </w:p>
                    <w:p>
                      <w:pPr>
                        <w:pStyle w:val="BodyText2"/>
                        <w:numPr>
                          <w:ilvl w:val="0"/>
                          <w:numId w:val="0"/>
                        </w:numPr>
                        <w:autoSpaceDE w:val="true"/>
                        <w:ind w:firstLine="360" w:start="0" w:end="0"/>
                        <w:jc w:val="both"/>
                        <w:rPr>
                          <w:rFonts w:ascii="Tahoma" w:hAnsi="Tahoma" w:cs="Tahoma"/>
                        </w:rPr>
                      </w:pPr>
                      <w:r>
                        <w:rPr>
                          <w:rFonts w:cs="Tahoma" w:ascii="Tahoma" w:hAnsi="Tahoma"/>
                        </w:rPr>
                        <w:t>Pat Mackin (Enron’s ERISA attorney) has already provided the group with his observations from the data room.  The benefits section of this due diligence is perhaps the most important area that the deal team will address from a Human Resources perspective.  Most of Pat’s observations were completed in the data room as copies of plan documents, compliance filings etc. were unable to be copied.  He has indicated the need to obtain copies of all plans and filings before the finalization of any deal goes through.</w:t>
                      </w:r>
                    </w:p>
                    <w:p>
                      <w:pPr>
                        <w:pStyle w:val="BodyText2"/>
                        <w:numPr>
                          <w:ilvl w:val="0"/>
                          <w:numId w:val="0"/>
                        </w:numPr>
                        <w:autoSpaceDE w:val="true"/>
                        <w:ind w:firstLine="360" w:start="0" w:end="0"/>
                        <w:jc w:val="both"/>
                        <w:rPr>
                          <w:rFonts w:ascii="Tahoma" w:hAnsi="Tahoma" w:cs="Tahoma"/>
                        </w:rPr>
                      </w:pPr>
                      <w:r>
                        <w:rPr>
                          <w:rFonts w:cs="Tahoma" w:ascii="Tahoma" w:hAnsi="Tahoma"/>
                        </w:rPr>
                        <w:t>Information (notes) regarding the plans listed above has been forwarded to the Enron Corp. Benefits team.  Two plan actuarials could be copied.  The team is currently in the process of providing a gap analysis on the different plans.  A consulting group who is responsible for Enron’s benefit plans is reviewing Triton’s plan actuarial.</w:t>
                      </w:r>
                    </w:p>
                    <w:p>
                      <w:pPr>
                        <w:pStyle w:val="BodyText2"/>
                        <w:numPr>
                          <w:ilvl w:val="0"/>
                          <w:numId w:val="0"/>
                        </w:numPr>
                        <w:autoSpaceDE w:val="true"/>
                        <w:ind w:firstLine="360" w:start="0" w:end="0"/>
                        <w:jc w:val="both"/>
                        <w:rPr>
                          <w:rFonts w:ascii="Tahoma" w:hAnsi="Tahoma" w:cs="Tahoma"/>
                        </w:rPr>
                      </w:pPr>
                      <w:r>
                        <w:rPr>
                          <w:rFonts w:cs="Tahoma" w:ascii="Tahoma" w:hAnsi="Tahoma"/>
                        </w:rPr>
                        <w:t>We will need to have benefit plan documents to fully assess the differences between Triton’s and Enron’s plan.  Following the gap analysis, the HR group will need to determine the differences between plans and a strategy to align the plans.</w:t>
                      </w:r>
                    </w:p>
                    <w:p>
                      <w:pPr>
                        <w:pStyle w:val="BodyText2"/>
                        <w:numPr>
                          <w:ilvl w:val="0"/>
                          <w:numId w:val="0"/>
                        </w:numPr>
                        <w:autoSpaceDE w:val="true"/>
                        <w:ind w:firstLine="360" w:start="0" w:end="0"/>
                        <w:jc w:val="both"/>
                        <w:rPr/>
                      </w:pPr>
                      <w:r>
                        <w:rPr>
                          <w:rFonts w:cs="Tahoma" w:ascii="Tahoma" w:hAnsi="Tahoma"/>
                        </w:rPr>
                        <w:t>Enron will need to determine the extent to which Triton’s plans are funded.  The medical and dental are a self-funded plan.  The other benefits are insured benefits.  If a stock sale is completed, Enron will “take on” any un-funded plans.</w:t>
                      </w:r>
                      <w:r>
                        <w:rPr>
                          <w:rFonts w:cs="Tahoma" w:ascii="Tahoma" w:hAnsi="Tahoma"/>
                          <w:b/>
                          <w:bCs/>
                        </w:rPr>
                        <w:t xml:space="preserve">  </w:t>
                      </w:r>
                      <w:r>
                        <w:rPr>
                          <w:rFonts w:cs="Tahoma" w:ascii="Tahoma" w:hAnsi="Tahoma"/>
                          <w:b/>
                          <w:bCs/>
                          <w:u w:val="single"/>
                        </w:rPr>
                        <w:t>This will affect the valuation of the final deal.  To reiterate, compliance and funding status documents must be made available in order to fully determine the status of Triton’s plans.</w:t>
                      </w:r>
                    </w:p>
                    <w:p>
                      <w:pPr>
                        <w:pStyle w:val="BodyText2"/>
                        <w:numPr>
                          <w:ilvl w:val="0"/>
                          <w:numId w:val="0"/>
                        </w:numPr>
                        <w:autoSpaceDE w:val="true"/>
                        <w:ind w:firstLine="360" w:start="0" w:end="0"/>
                        <w:jc w:val="both"/>
                        <w:rPr>
                          <w:rFonts w:ascii="Tahoma" w:hAnsi="Tahoma" w:cs="Tahoma"/>
                        </w:rPr>
                      </w:pPr>
                      <w:r>
                        <w:rPr>
                          <w:rFonts w:cs="Tahoma" w:ascii="Tahoma" w:hAnsi="Tahoma"/>
                        </w:rPr>
                        <w:t>The HR Mergers and Acquisition group will continue to update the deal team when determinations are made regarding plans.</w:t>
                      </w:r>
                    </w:p>
                    <w:p>
                      <w:pPr>
                        <w:pStyle w:val="Normal"/>
                        <w:rPr>
                          <w:rFonts w:ascii="Tahoma" w:hAnsi="Tahoma" w:cs="Tahoma"/>
                        </w:rPr>
                      </w:pPr>
                      <w:r>
                        <w:rPr>
                          <w:rFonts w:cs="Tahoma" w:ascii="Tahoma" w:hAnsi="Tahoma"/>
                        </w:rPr>
                      </w:r>
                    </w:p>
                  </w:txbxContent>
                </v:textbox>
                <w10:wrap type="none"/>
              </v:rect>
            </w:pict>
          </mc:Fallback>
        </mc:AlternateContent>
      </w:r>
    </w:p>
    <w:p>
      <w:pPr>
        <w:pStyle w:val="Heading1"/>
        <w:ind w:hanging="0" w:start="0"/>
        <w:jc w:val="start"/>
        <w:rPr/>
      </w:pPr>
      <w:r>
        <w:rPr/>
        <w:t>Staffing</w:t>
      </w:r>
    </w:p>
    <w:p>
      <w:pPr>
        <w:pStyle w:val="Normal"/>
        <w:rPr/>
      </w:pPr>
      <w:r>
        <w:rPr/>
      </w:r>
    </w:p>
    <w:p>
      <w:pPr>
        <w:pStyle w:val="Heading5"/>
        <w:rPr>
          <w:rFonts w:cs="Times New Roman"/>
        </w:rPr>
      </w:pPr>
      <w:r>
        <w:rPr>
          <w:rFonts w:cs="Times New Roman"/>
        </w:rPr>
        <w:t>Feedback</w:t>
      </w:r>
    </w:p>
    <w:p>
      <w:pPr>
        <w:pStyle w:val="Normal"/>
        <w:rPr>
          <w:rFonts w:cs="Times New Roman"/>
        </w:rPr>
      </w:pPr>
      <w:r>
        <w:rPr>
          <w:rFonts w:cs="Times New Roman"/>
        </w:rPr>
      </w:r>
    </w:p>
    <w:tbl>
      <w:tblPr>
        <w:tblW w:w="9108" w:type="dxa"/>
        <w:jc w:val="start"/>
        <w:tblInd w:w="720" w:type="dxa"/>
        <w:tblLayout w:type="fixed"/>
        <w:tblCellMar>
          <w:top w:w="0" w:type="dxa"/>
          <w:start w:w="108" w:type="dxa"/>
          <w:bottom w:w="0" w:type="dxa"/>
          <w:end w:w="108" w:type="dxa"/>
        </w:tblCellMar>
      </w:tblPr>
      <w:tblGrid>
        <w:gridCol w:w="4428"/>
        <w:gridCol w:w="4680"/>
      </w:tblGrid>
      <w:tr>
        <w:trPr/>
        <w:tc>
          <w:tcPr>
            <w:tcW w:w="4428" w:type="dxa"/>
            <w:tcBorders/>
          </w:tcPr>
          <w:p>
            <w:pPr>
              <w:pStyle w:val="BodyTextIndent"/>
              <w:numPr>
                <w:ilvl w:val="0"/>
                <w:numId w:val="9"/>
              </w:numPr>
              <w:rPr>
                <w:rFonts w:ascii="Tahoma" w:hAnsi="Tahoma" w:cs="Tahoma"/>
                <w:sz w:val="20"/>
              </w:rPr>
            </w:pPr>
            <w:r>
              <w:rPr>
                <w:rFonts w:cs="Tahoma" w:ascii="Tahoma" w:hAnsi="Tahoma"/>
                <w:sz w:val="20"/>
              </w:rPr>
              <w:t>Rigid testing and hiring process</w:t>
            </w:r>
          </w:p>
        </w:tc>
        <w:tc>
          <w:tcPr>
            <w:tcW w:w="4680" w:type="dxa"/>
            <w:tcBorders/>
          </w:tcPr>
          <w:p>
            <w:pPr>
              <w:pStyle w:val="BodyTextIndent"/>
              <w:numPr>
                <w:ilvl w:val="0"/>
                <w:numId w:val="9"/>
              </w:numPr>
              <w:rPr>
                <w:rFonts w:ascii="Tahoma" w:hAnsi="Tahoma" w:cs="Tahoma"/>
                <w:sz w:val="20"/>
              </w:rPr>
            </w:pPr>
            <w:r>
              <w:rPr>
                <w:rFonts w:cs="Tahoma" w:ascii="Tahoma" w:hAnsi="Tahoma"/>
                <w:sz w:val="20"/>
              </w:rPr>
              <w:t>Temp agencies provide resumes to Triton</w:t>
            </w:r>
          </w:p>
        </w:tc>
      </w:tr>
      <w:tr>
        <w:trPr/>
        <w:tc>
          <w:tcPr>
            <w:tcW w:w="4428" w:type="dxa"/>
            <w:tcBorders/>
          </w:tcPr>
          <w:p>
            <w:pPr>
              <w:pStyle w:val="BodyTextIndent"/>
              <w:snapToGrid w:val="false"/>
              <w:ind w:start="0" w:end="0"/>
              <w:rPr>
                <w:rFonts w:ascii="Tahoma" w:hAnsi="Tahoma" w:cs="Tahoma"/>
                <w:sz w:val="20"/>
              </w:rPr>
            </w:pPr>
            <w:r>
              <w:rPr>
                <w:rFonts w:cs="Tahoma" w:ascii="Tahoma" w:hAnsi="Tahoma"/>
                <w:sz w:val="20"/>
              </w:rPr>
            </w:r>
          </w:p>
          <w:p>
            <w:pPr>
              <w:pStyle w:val="BodyTextIndent"/>
              <w:numPr>
                <w:ilvl w:val="0"/>
                <w:numId w:val="9"/>
              </w:numPr>
              <w:rPr>
                <w:rFonts w:ascii="Tahoma" w:hAnsi="Tahoma" w:cs="Tahoma"/>
                <w:sz w:val="20"/>
              </w:rPr>
            </w:pPr>
            <w:r>
              <w:rPr>
                <w:rFonts w:cs="Tahoma" w:ascii="Tahoma" w:hAnsi="Tahoma"/>
                <w:sz w:val="20"/>
              </w:rPr>
              <w:t>Employee referrals</w:t>
            </w:r>
          </w:p>
        </w:tc>
        <w:tc>
          <w:tcPr>
            <w:tcW w:w="4680" w:type="dxa"/>
            <w:tcBorders/>
          </w:tcPr>
          <w:p>
            <w:pPr>
              <w:pStyle w:val="BodyTextIndent"/>
              <w:snapToGrid w:val="false"/>
              <w:ind w:start="0" w:end="0"/>
              <w:rPr>
                <w:rFonts w:ascii="Tahoma" w:hAnsi="Tahoma" w:cs="Tahoma"/>
                <w:sz w:val="20"/>
              </w:rPr>
            </w:pPr>
            <w:r>
              <w:rPr>
                <w:rFonts w:cs="Tahoma" w:ascii="Tahoma" w:hAnsi="Tahoma"/>
                <w:sz w:val="20"/>
              </w:rPr>
            </w:r>
          </w:p>
          <w:p>
            <w:pPr>
              <w:pStyle w:val="BodyTextIndent"/>
              <w:numPr>
                <w:ilvl w:val="0"/>
                <w:numId w:val="9"/>
              </w:numPr>
              <w:rPr>
                <w:rFonts w:ascii="Tahoma" w:hAnsi="Tahoma" w:cs="Tahoma"/>
                <w:sz w:val="20"/>
              </w:rPr>
            </w:pPr>
            <w:r>
              <w:rPr>
                <w:rFonts w:cs="Tahoma" w:ascii="Tahoma" w:hAnsi="Tahoma"/>
                <w:sz w:val="20"/>
              </w:rPr>
              <w:t>Apparent work ethic differentiates candidates</w:t>
            </w:r>
          </w:p>
        </w:tc>
      </w:tr>
      <w:tr>
        <w:trPr/>
        <w:tc>
          <w:tcPr>
            <w:tcW w:w="4428" w:type="dxa"/>
            <w:tcBorders/>
          </w:tcPr>
          <w:p>
            <w:pPr>
              <w:pStyle w:val="BodyTextIndent"/>
              <w:snapToGrid w:val="false"/>
              <w:ind w:start="0" w:end="0"/>
              <w:rPr>
                <w:rFonts w:ascii="Tahoma" w:hAnsi="Tahoma" w:cs="Tahoma"/>
                <w:sz w:val="20"/>
              </w:rPr>
            </w:pPr>
            <w:r>
              <w:rPr>
                <w:rFonts w:cs="Tahoma" w:ascii="Tahoma" w:hAnsi="Tahoma"/>
                <w:sz w:val="20"/>
              </w:rPr>
            </w:r>
          </w:p>
          <w:p>
            <w:pPr>
              <w:pStyle w:val="BodyTextIndent"/>
              <w:numPr>
                <w:ilvl w:val="0"/>
                <w:numId w:val="9"/>
              </w:numPr>
              <w:rPr>
                <w:rFonts w:ascii="Tahoma" w:hAnsi="Tahoma" w:cs="Tahoma"/>
                <w:sz w:val="20"/>
              </w:rPr>
            </w:pPr>
            <w:r>
              <w:rPr>
                <w:rFonts w:cs="Tahoma" w:ascii="Tahoma" w:hAnsi="Tahoma"/>
                <w:sz w:val="20"/>
              </w:rPr>
              <w:t>Temporary 90-day evaluation period for newly hired employees</w:t>
            </w:r>
          </w:p>
        </w:tc>
        <w:tc>
          <w:tcPr>
            <w:tcW w:w="4680" w:type="dxa"/>
            <w:tcBorders/>
          </w:tcPr>
          <w:p>
            <w:pPr>
              <w:pStyle w:val="BodyTextIndent"/>
              <w:snapToGrid w:val="false"/>
              <w:ind w:start="0" w:end="0"/>
              <w:rPr>
                <w:rFonts w:ascii="Tahoma" w:hAnsi="Tahoma" w:cs="Tahoma"/>
                <w:sz w:val="20"/>
              </w:rPr>
            </w:pPr>
            <w:r>
              <w:rPr>
                <w:rFonts w:cs="Tahoma" w:ascii="Tahoma" w:hAnsi="Tahoma"/>
                <w:sz w:val="20"/>
              </w:rPr>
            </w:r>
          </w:p>
          <w:p>
            <w:pPr>
              <w:pStyle w:val="BodyTextIndent"/>
              <w:numPr>
                <w:ilvl w:val="0"/>
                <w:numId w:val="9"/>
              </w:numPr>
              <w:rPr>
                <w:rFonts w:ascii="Tahoma" w:hAnsi="Tahoma" w:cs="Tahoma"/>
                <w:sz w:val="20"/>
              </w:rPr>
            </w:pPr>
            <w:r>
              <w:rPr>
                <w:rFonts w:cs="Tahoma" w:ascii="Tahoma" w:hAnsi="Tahoma"/>
                <w:sz w:val="20"/>
              </w:rPr>
              <w:t>Labor projections supplied up to 2004 (160-178 Mining Techs, 28-30 Staff)</w:t>
            </w:r>
          </w:p>
        </w:tc>
      </w:tr>
      <w:tr>
        <w:trPr/>
        <w:tc>
          <w:tcPr>
            <w:tcW w:w="4428" w:type="dxa"/>
            <w:tcBorders/>
          </w:tcPr>
          <w:p>
            <w:pPr>
              <w:pStyle w:val="BodyTextIndent"/>
              <w:snapToGrid w:val="false"/>
              <w:ind w:start="0" w:end="0"/>
              <w:rPr>
                <w:rFonts w:ascii="Tahoma" w:hAnsi="Tahoma" w:cs="Tahoma"/>
                <w:sz w:val="20"/>
              </w:rPr>
            </w:pPr>
            <w:r>
              <w:rPr>
                <w:rFonts w:cs="Tahoma" w:ascii="Tahoma" w:hAnsi="Tahoma"/>
                <w:sz w:val="20"/>
              </w:rPr>
            </w:r>
          </w:p>
          <w:p>
            <w:pPr>
              <w:pStyle w:val="BodyTextIndent"/>
              <w:numPr>
                <w:ilvl w:val="0"/>
                <w:numId w:val="9"/>
              </w:numPr>
              <w:rPr>
                <w:rFonts w:ascii="Tahoma" w:hAnsi="Tahoma" w:cs="Tahoma"/>
                <w:sz w:val="20"/>
              </w:rPr>
            </w:pPr>
            <w:r>
              <w:rPr>
                <w:rFonts w:cs="Tahoma" w:ascii="Tahoma" w:hAnsi="Tahoma"/>
                <w:sz w:val="20"/>
              </w:rPr>
              <w:t>Pre-employment drug screens and physicals</w:t>
            </w:r>
          </w:p>
        </w:tc>
        <w:tc>
          <w:tcPr>
            <w:tcW w:w="4680" w:type="dxa"/>
            <w:tcBorders/>
          </w:tcPr>
          <w:p>
            <w:pPr>
              <w:pStyle w:val="BodyTextIndent"/>
              <w:snapToGrid w:val="false"/>
              <w:ind w:start="0" w:end="-448"/>
              <w:rPr>
                <w:rFonts w:ascii="Tahoma" w:hAnsi="Tahoma" w:cs="Tahoma"/>
                <w:sz w:val="20"/>
              </w:rPr>
            </w:pPr>
            <w:r>
              <w:rPr>
                <w:rFonts w:cs="Tahoma" w:ascii="Tahoma" w:hAnsi="Tahoma"/>
                <w:sz w:val="20"/>
              </w:rPr>
            </w:r>
          </w:p>
          <w:p>
            <w:pPr>
              <w:pStyle w:val="BodyTextIndent"/>
              <w:numPr>
                <w:ilvl w:val="0"/>
                <w:numId w:val="9"/>
              </w:numPr>
              <w:ind w:hanging="360" w:start="720" w:end="-448"/>
              <w:rPr>
                <w:rFonts w:ascii="Tahoma" w:hAnsi="Tahoma" w:cs="Tahoma"/>
                <w:sz w:val="20"/>
              </w:rPr>
            </w:pPr>
            <w:r>
              <w:rPr>
                <w:rFonts w:cs="Tahoma" w:ascii="Tahoma" w:hAnsi="Tahoma"/>
                <w:sz w:val="20"/>
              </w:rPr>
              <w:t>Available pool of talent in the local market decreased due to competition</w:t>
            </w:r>
          </w:p>
        </w:tc>
      </w:tr>
      <w:tr>
        <w:trPr/>
        <w:tc>
          <w:tcPr>
            <w:tcW w:w="4428" w:type="dxa"/>
            <w:tcBorders/>
          </w:tcPr>
          <w:p>
            <w:pPr>
              <w:pStyle w:val="Subtitle"/>
              <w:snapToGrid w:val="false"/>
              <w:rPr>
                <w:rFonts w:ascii="Tahoma" w:hAnsi="Tahoma" w:cs="Tahoma"/>
                <w:b w:val="false"/>
                <w:bCs w:val="false"/>
                <w:sz w:val="20"/>
              </w:rPr>
            </w:pPr>
            <w:r>
              <w:rPr>
                <w:rFonts w:cs="Tahoma" w:ascii="Tahoma" w:hAnsi="Tahoma"/>
                <w:b w:val="false"/>
                <w:bCs w:val="false"/>
                <w:sz w:val="20"/>
              </w:rPr>
            </w:r>
          </w:p>
          <w:p>
            <w:pPr>
              <w:pStyle w:val="Subtitle"/>
              <w:numPr>
                <w:ilvl w:val="0"/>
                <w:numId w:val="8"/>
              </w:numPr>
              <w:rPr>
                <w:rFonts w:ascii="Tahoma" w:hAnsi="Tahoma" w:cs="Tahoma"/>
                <w:b w:val="false"/>
                <w:bCs w:val="false"/>
                <w:sz w:val="20"/>
              </w:rPr>
            </w:pPr>
            <w:r>
              <w:rPr>
                <w:rFonts w:cs="Tahoma" w:ascii="Tahoma" w:hAnsi="Tahoma"/>
                <w:b w:val="false"/>
                <w:bCs w:val="false"/>
                <w:sz w:val="20"/>
              </w:rPr>
              <w:t>The biggest challenge currently is recruiting/compensation and benefits administration of the operations employees</w:t>
            </w:r>
          </w:p>
        </w:tc>
        <w:tc>
          <w:tcPr>
            <w:tcW w:w="4680" w:type="dxa"/>
            <w:tcBorders/>
          </w:tcPr>
          <w:p>
            <w:pPr>
              <w:pStyle w:val="Subtitle"/>
              <w:snapToGrid w:val="false"/>
              <w:rPr>
                <w:rFonts w:ascii="Tahoma" w:hAnsi="Tahoma" w:cs="Tahoma"/>
                <w:b w:val="false"/>
                <w:bCs w:val="false"/>
                <w:sz w:val="20"/>
              </w:rPr>
            </w:pPr>
            <w:r>
              <w:rPr>
                <w:rFonts w:cs="Tahoma" w:ascii="Tahoma" w:hAnsi="Tahoma"/>
                <w:b w:val="false"/>
                <w:bCs w:val="false"/>
                <w:sz w:val="20"/>
              </w:rPr>
            </w:r>
          </w:p>
          <w:p>
            <w:pPr>
              <w:pStyle w:val="Subtitle"/>
              <w:numPr>
                <w:ilvl w:val="0"/>
                <w:numId w:val="8"/>
              </w:numPr>
              <w:rPr>
                <w:rFonts w:ascii="Tahoma" w:hAnsi="Tahoma" w:cs="Tahoma"/>
                <w:b w:val="false"/>
                <w:bCs w:val="false"/>
                <w:sz w:val="20"/>
              </w:rPr>
            </w:pPr>
            <w:r>
              <w:rPr>
                <w:rFonts w:cs="Tahoma" w:ascii="Tahoma" w:hAnsi="Tahoma"/>
                <w:b w:val="false"/>
                <w:bCs w:val="false"/>
                <w:sz w:val="20"/>
              </w:rPr>
              <w:t>Labor projections given up to 2004 (160-178 Mining Techs, 28-30 Staff)</w:t>
            </w:r>
          </w:p>
        </w:tc>
      </w:tr>
    </w:tbl>
    <w:p>
      <w:pPr>
        <w:pStyle w:val="Normal"/>
        <w:rPr>
          <w:rFonts w:ascii="Tahoma" w:hAnsi="Tahoma" w:cs="Tahoma"/>
        </w:rPr>
      </w:pPr>
      <w:r>
        <w:rPr>
          <w:rFonts w:cs="Tahoma" w:ascii="Tahoma" w:hAnsi="Tahoma"/>
        </w:rPr>
      </w:r>
    </w:p>
    <w:p>
      <w:pPr>
        <w:pStyle w:val="Heading2"/>
        <w:ind w:hanging="0" w:start="0"/>
        <w:rPr>
          <w:rFonts w:ascii="Castellar" w:hAnsi="Castellar" w:cs="Castellar"/>
          <w:sz w:val="20"/>
        </w:rPr>
      </w:pPr>
      <w:r>
        <w:rPr>
          <w:rFonts w:cs="Castellar" w:ascii="Castellar" w:hAnsi="Castellar"/>
          <w:sz w:val="20"/>
        </w:rPr>
        <w:t>To be provided in final due diligence:</w:t>
      </w:r>
    </w:p>
    <w:p>
      <w:pPr>
        <w:pStyle w:val="Normal"/>
        <w:numPr>
          <w:ilvl w:val="0"/>
          <w:numId w:val="13"/>
        </w:numPr>
        <w:rPr/>
      </w:pPr>
      <w:r>
        <w:rPr>
          <w:rFonts w:cs="Tahoma" w:ascii="Tahoma" w:hAnsi="Tahoma"/>
          <w:sz w:val="20"/>
        </w:rPr>
        <w:t xml:space="preserve">Hiring and attrition statistics </w:t>
      </w:r>
    </w:p>
    <w:p>
      <w:pPr>
        <w:pStyle w:val="Heading1"/>
        <w:numPr>
          <w:ilvl w:val="0"/>
          <w:numId w:val="0"/>
        </w:numPr>
        <w:jc w:val="start"/>
        <w:rPr/>
      </w:pPr>
      <w:r>
        <w:rPr/>
      </w:r>
      <w:r>
        <w:br w:type="page"/>
      </w:r>
      <w:r>
        <mc:AlternateContent>
          <mc:Choice Requires="wps">
            <w:drawing>
              <wp:anchor behindDoc="0" distT="0" distB="0" distL="114935" distR="114935" simplePos="0" locked="0" layoutInCell="1" allowOverlap="1" relativeHeight="8">
                <wp:simplePos x="0" y="0"/>
                <wp:positionH relativeFrom="column">
                  <wp:posOffset>337185</wp:posOffset>
                </wp:positionH>
                <wp:positionV relativeFrom="paragraph">
                  <wp:posOffset>393065</wp:posOffset>
                </wp:positionV>
                <wp:extent cx="5728335" cy="1865630"/>
                <wp:effectExtent l="0" t="0" r="0" b="0"/>
                <wp:wrapNone/>
                <wp:docPr id="7" name="Frame6"/>
                <a:graphic xmlns:a="http://schemas.openxmlformats.org/drawingml/2006/main">
                  <a:graphicData uri="http://schemas.microsoft.com/office/word/2010/wordprocessingShape">
                    <wps:wsp>
                      <wps:cNvSpPr txBox="1"/>
                      <wps:spPr>
                        <a:xfrm>
                          <a:off x="0" y="0"/>
                          <a:ext cx="5728335" cy="1865630"/>
                        </a:xfrm>
                        <a:prstGeom prst="rect"/>
                        <a:solidFill>
                          <a:srgbClr val="FFFFFF"/>
                        </a:solidFill>
                        <a:ln w="38100">
                          <a:solidFill>
                            <a:srgbClr val="000000"/>
                          </a:solidFill>
                        </a:ln>
                      </wps:spPr>
                      <wps:txbx>
                        <w:txbxContent>
                          <w:p>
                            <w:pPr>
                              <w:pStyle w:val="Heading2"/>
                              <w:ind w:hanging="0" w:start="0"/>
                              <w:rPr>
                                <w:rFonts w:ascii="Castellar" w:hAnsi="Castellar" w:cs="Castellar"/>
                                <w:sz w:val="20"/>
                              </w:rPr>
                            </w:pPr>
                            <w:r>
                              <w:rPr>
                                <w:rFonts w:cs="Castellar" w:ascii="Castellar" w:hAnsi="Castellar"/>
                                <w:sz w:val="20"/>
                              </w:rPr>
                              <w:t>OBSERVATIONS / Recommendations</w:t>
                            </w:r>
                          </w:p>
                          <w:p>
                            <w:pPr>
                              <w:pStyle w:val="Normal"/>
                              <w:ind w:firstLine="360" w:end="0"/>
                              <w:jc w:val="both"/>
                              <w:rPr>
                                <w:rFonts w:ascii="Tahoma" w:hAnsi="Tahoma" w:cs="Tahoma"/>
                                <w:sz w:val="20"/>
                              </w:rPr>
                            </w:pPr>
                            <w:r>
                              <w:rPr>
                                <w:rFonts w:cs="Tahoma" w:ascii="Tahoma" w:hAnsi="Tahoma"/>
                                <w:sz w:val="20"/>
                              </w:rPr>
                              <w:t>Triton’s reputation in the Powder River Basin appears to be a strong recruiting tool.  Management recognizes the level of compensation in the mine is lower than the competitors operating in the immediate area.  The company has expressed an interest to sell the mines and have been conservative with any recent pay increases.  As previously stated, employees have an expectation their compensation level will increase with the purchase of the mine.  When compensation is aligned with competitors, management indicated recruiting of new talent will be less of an issue.</w:t>
                            </w:r>
                          </w:p>
                          <w:p>
                            <w:pPr>
                              <w:pStyle w:val="Normal"/>
                              <w:ind w:firstLine="360" w:end="0"/>
                              <w:jc w:val="both"/>
                              <w:rPr>
                                <w:rFonts w:ascii="Tahoma" w:hAnsi="Tahoma" w:cs="Tahoma"/>
                                <w:sz w:val="20"/>
                              </w:rPr>
                            </w:pPr>
                            <w:r>
                              <w:rPr>
                                <w:rFonts w:cs="Tahoma" w:ascii="Tahoma" w:hAnsi="Tahoma"/>
                                <w:sz w:val="20"/>
                              </w:rPr>
                              <w:t>The mines appear to have a sound screening and recruiting policy.  Employee referrals for open positions coupled with a 90-day evaluation period is consistent with sound hiring practice.  Shanna Funkhouser indicated the mine did not appear to be “over” staffed.</w:t>
                            </w:r>
                          </w:p>
                        </w:txbxContent>
                      </wps:txbx>
                      <wps:bodyPr anchor="t" lIns="68580" tIns="22860" rIns="68580" bIns="22860">
                        <a:noAutofit/>
                      </wps:bodyPr>
                    </wps:wsp>
                  </a:graphicData>
                </a:graphic>
              </wp:anchor>
            </w:drawing>
          </mc:Choice>
          <mc:Fallback>
            <w:pict>
              <v:rect fillcolor="#FFFFFF" strokecolor="#000000" strokeweight="3pt" style="position:absolute;rotation:-0;width:451.05pt;height:146.9pt;mso-wrap-distance-left:9.05pt;mso-wrap-distance-right:9.05pt;mso-wrap-distance-top:0pt;mso-wrap-distance-bottom:0pt;margin-top:30.95pt;mso-position-vertical-relative:text;margin-left:26.55pt;mso-position-horizontal-relative:text">
                <v:textbox inset="0.075in,0.025in,0.075in,0.025in">
                  <w:txbxContent>
                    <w:p>
                      <w:pPr>
                        <w:pStyle w:val="Heading2"/>
                        <w:ind w:hanging="0" w:start="0"/>
                        <w:rPr>
                          <w:rFonts w:ascii="Castellar" w:hAnsi="Castellar" w:cs="Castellar"/>
                          <w:sz w:val="20"/>
                        </w:rPr>
                      </w:pPr>
                      <w:r>
                        <w:rPr>
                          <w:rFonts w:cs="Castellar" w:ascii="Castellar" w:hAnsi="Castellar"/>
                          <w:sz w:val="20"/>
                        </w:rPr>
                        <w:t>OBSERVATIONS / Recommendations</w:t>
                      </w:r>
                    </w:p>
                    <w:p>
                      <w:pPr>
                        <w:pStyle w:val="Normal"/>
                        <w:ind w:firstLine="360" w:end="0"/>
                        <w:jc w:val="both"/>
                        <w:rPr>
                          <w:rFonts w:ascii="Tahoma" w:hAnsi="Tahoma" w:cs="Tahoma"/>
                          <w:sz w:val="20"/>
                        </w:rPr>
                      </w:pPr>
                      <w:r>
                        <w:rPr>
                          <w:rFonts w:cs="Tahoma" w:ascii="Tahoma" w:hAnsi="Tahoma"/>
                          <w:sz w:val="20"/>
                        </w:rPr>
                        <w:t>Triton’s reputation in the Powder River Basin appears to be a strong recruiting tool.  Management recognizes the level of compensation in the mine is lower than the competitors operating in the immediate area.  The company has expressed an interest to sell the mines and have been conservative with any recent pay increases.  As previously stated, employees have an expectation their compensation level will increase with the purchase of the mine.  When compensation is aligned with competitors, management indicated recruiting of new talent will be less of an issue.</w:t>
                      </w:r>
                    </w:p>
                    <w:p>
                      <w:pPr>
                        <w:pStyle w:val="Normal"/>
                        <w:ind w:firstLine="360" w:end="0"/>
                        <w:jc w:val="both"/>
                        <w:rPr>
                          <w:rFonts w:ascii="Tahoma" w:hAnsi="Tahoma" w:cs="Tahoma"/>
                          <w:sz w:val="20"/>
                        </w:rPr>
                      </w:pPr>
                      <w:r>
                        <w:rPr>
                          <w:rFonts w:cs="Tahoma" w:ascii="Tahoma" w:hAnsi="Tahoma"/>
                          <w:sz w:val="20"/>
                        </w:rPr>
                        <w:t>The mines appear to have a sound screening and recruiting policy.  Employee referrals for open positions coupled with a 90-day evaluation period is consistent with sound hiring practice.  Shanna Funkhouser indicated the mine did not appear to be “over” staffed.</w:t>
                      </w:r>
                    </w:p>
                  </w:txbxContent>
                </v:textbox>
                <w10:wrap type="none"/>
              </v:rect>
            </w:pict>
          </mc:Fallback>
        </mc:AlternateContent>
      </w:r>
    </w:p>
    <w:p>
      <w:pPr>
        <w:pStyle w:val="Heading1"/>
        <w:ind w:hanging="0" w:start="0"/>
        <w:jc w:val="start"/>
        <w:rPr/>
      </w:pPr>
      <w:r>
        <w:rPr/>
        <w:t>Compensation</w:t>
      </w:r>
    </w:p>
    <w:p>
      <w:pPr>
        <w:pStyle w:val="Normal"/>
        <w:rPr/>
      </w:pPr>
      <w:r>
        <w:rPr/>
      </w:r>
    </w:p>
    <w:p>
      <w:pPr>
        <w:pStyle w:val="Normal"/>
        <w:rPr>
          <w:rFonts w:ascii="Tahoma" w:hAnsi="Tahoma" w:cs="Tahoma"/>
          <w:b/>
          <w:bCs/>
        </w:rPr>
      </w:pPr>
      <w:r>
        <w:rPr>
          <w:rFonts w:cs="Tahoma" w:ascii="Tahoma" w:hAnsi="Tahoma"/>
          <w:b/>
          <w:bCs/>
        </w:rPr>
      </w:r>
    </w:p>
    <w:tbl>
      <w:tblPr>
        <w:tblW w:w="8136" w:type="dxa"/>
        <w:jc w:val="start"/>
        <w:tblInd w:w="720" w:type="dxa"/>
        <w:tblLayout w:type="fixed"/>
        <w:tblCellMar>
          <w:top w:w="0" w:type="dxa"/>
          <w:start w:w="108" w:type="dxa"/>
          <w:bottom w:w="0" w:type="dxa"/>
          <w:end w:w="108" w:type="dxa"/>
        </w:tblCellMar>
      </w:tblPr>
      <w:tblGrid>
        <w:gridCol w:w="4662"/>
        <w:gridCol w:w="3474"/>
      </w:tblGrid>
      <w:tr>
        <w:trPr/>
        <w:tc>
          <w:tcPr>
            <w:tcW w:w="4662" w:type="dxa"/>
            <w:tcBorders/>
          </w:tcPr>
          <w:p>
            <w:pPr>
              <w:pStyle w:val="Normal"/>
              <w:numPr>
                <w:ilvl w:val="0"/>
                <w:numId w:val="5"/>
              </w:numPr>
              <w:rPr>
                <w:rFonts w:ascii="Tahoma" w:hAnsi="Tahoma" w:cs="Tahoma"/>
                <w:sz w:val="20"/>
              </w:rPr>
            </w:pPr>
            <w:r>
              <w:rPr>
                <w:rFonts w:cs="Tahoma" w:ascii="Tahoma" w:hAnsi="Tahoma"/>
                <w:sz w:val="20"/>
              </w:rPr>
              <w:t>12 hour rotation shift schedule:</w:t>
            </w:r>
          </w:p>
        </w:tc>
        <w:tc>
          <w:tcPr>
            <w:tcW w:w="3474" w:type="dxa"/>
            <w:tcBorders/>
          </w:tcPr>
          <w:p>
            <w:pPr>
              <w:pStyle w:val="BodyTextIndent2"/>
              <w:numPr>
                <w:ilvl w:val="0"/>
                <w:numId w:val="3"/>
              </w:numPr>
              <w:rPr>
                <w:rFonts w:ascii="Tahoma" w:hAnsi="Tahoma" w:cs="Tahoma"/>
                <w:sz w:val="20"/>
              </w:rPr>
            </w:pPr>
            <w:r>
              <w:rPr>
                <w:rFonts w:cs="Tahoma" w:ascii="Tahoma" w:hAnsi="Tahoma"/>
                <w:sz w:val="20"/>
              </w:rPr>
              <w:t>Compensation, pay raise</w:t>
            </w:r>
          </w:p>
        </w:tc>
      </w:tr>
      <w:tr>
        <w:trPr/>
        <w:tc>
          <w:tcPr>
            <w:tcW w:w="4662" w:type="dxa"/>
            <w:tcBorders/>
          </w:tcPr>
          <w:p>
            <w:pPr>
              <w:pStyle w:val="Normal"/>
              <w:ind w:start="720" w:end="0"/>
              <w:rPr>
                <w:rFonts w:ascii="Tahoma" w:hAnsi="Tahoma" w:cs="Tahoma"/>
                <w:sz w:val="20"/>
              </w:rPr>
            </w:pPr>
            <w:r>
              <w:rPr>
                <w:rFonts w:cs="Tahoma" w:ascii="Tahoma" w:hAnsi="Tahoma"/>
                <w:sz w:val="20"/>
              </w:rPr>
              <w:t>5 days</w:t>
            </w:r>
          </w:p>
        </w:tc>
        <w:tc>
          <w:tcPr>
            <w:tcW w:w="3474" w:type="dxa"/>
            <w:tcBorders/>
          </w:tcPr>
          <w:p>
            <w:pPr>
              <w:pStyle w:val="BodyTextIndent"/>
              <w:ind w:start="738" w:end="0"/>
              <w:rPr>
                <w:rFonts w:ascii="Tahoma" w:hAnsi="Tahoma" w:cs="Tahoma"/>
                <w:sz w:val="20"/>
              </w:rPr>
            </w:pPr>
            <w:r>
              <w:rPr>
                <w:rFonts w:cs="Tahoma" w:ascii="Tahoma" w:hAnsi="Tahoma"/>
                <w:sz w:val="20"/>
              </w:rPr>
              <w:t>Tech 0:  for 6 months</w:t>
            </w:r>
          </w:p>
        </w:tc>
      </w:tr>
      <w:tr>
        <w:trPr/>
        <w:tc>
          <w:tcPr>
            <w:tcW w:w="4662" w:type="dxa"/>
            <w:tcBorders/>
          </w:tcPr>
          <w:p>
            <w:pPr>
              <w:pStyle w:val="Normal"/>
              <w:ind w:start="720" w:end="0"/>
              <w:rPr>
                <w:rFonts w:ascii="Tahoma" w:hAnsi="Tahoma" w:cs="Tahoma"/>
                <w:sz w:val="20"/>
              </w:rPr>
            </w:pPr>
            <w:r>
              <w:rPr>
                <w:rFonts w:cs="Tahoma" w:ascii="Tahoma" w:hAnsi="Tahoma"/>
                <w:sz w:val="20"/>
              </w:rPr>
              <w:t>5 off</w:t>
            </w:r>
          </w:p>
        </w:tc>
        <w:tc>
          <w:tcPr>
            <w:tcW w:w="3474" w:type="dxa"/>
            <w:tcBorders/>
          </w:tcPr>
          <w:p>
            <w:pPr>
              <w:pStyle w:val="BodyTextIndent"/>
              <w:ind w:start="738" w:end="0"/>
              <w:rPr>
                <w:rFonts w:ascii="Tahoma" w:hAnsi="Tahoma" w:cs="Tahoma"/>
                <w:sz w:val="20"/>
              </w:rPr>
            </w:pPr>
            <w:r>
              <w:rPr>
                <w:rFonts w:cs="Tahoma" w:ascii="Tahoma" w:hAnsi="Tahoma"/>
                <w:sz w:val="20"/>
              </w:rPr>
              <w:t>Tech 1:  for 6 months</w:t>
            </w:r>
          </w:p>
        </w:tc>
      </w:tr>
      <w:tr>
        <w:trPr/>
        <w:tc>
          <w:tcPr>
            <w:tcW w:w="4662" w:type="dxa"/>
            <w:tcBorders/>
          </w:tcPr>
          <w:p>
            <w:pPr>
              <w:pStyle w:val="Normal"/>
              <w:ind w:start="720" w:end="0"/>
              <w:rPr>
                <w:rFonts w:ascii="Tahoma" w:hAnsi="Tahoma" w:cs="Tahoma"/>
                <w:sz w:val="20"/>
              </w:rPr>
            </w:pPr>
            <w:r>
              <w:rPr>
                <w:rFonts w:cs="Tahoma" w:ascii="Tahoma" w:hAnsi="Tahoma"/>
                <w:sz w:val="20"/>
              </w:rPr>
              <w:t>4 nights; 35 cents/hour premium</w:t>
            </w:r>
          </w:p>
        </w:tc>
        <w:tc>
          <w:tcPr>
            <w:tcW w:w="3474" w:type="dxa"/>
            <w:tcBorders/>
          </w:tcPr>
          <w:p>
            <w:pPr>
              <w:pStyle w:val="BodyTextIndent"/>
              <w:ind w:start="738" w:end="0"/>
              <w:rPr>
                <w:rFonts w:ascii="Tahoma" w:hAnsi="Tahoma" w:cs="Tahoma"/>
                <w:sz w:val="20"/>
              </w:rPr>
            </w:pPr>
            <w:r>
              <w:rPr>
                <w:rFonts w:cs="Tahoma" w:ascii="Tahoma" w:hAnsi="Tahoma"/>
                <w:sz w:val="20"/>
              </w:rPr>
              <w:t>Tech 2:  for 1 year</w:t>
            </w:r>
          </w:p>
        </w:tc>
      </w:tr>
      <w:tr>
        <w:trPr/>
        <w:tc>
          <w:tcPr>
            <w:tcW w:w="4662" w:type="dxa"/>
            <w:tcBorders/>
          </w:tcPr>
          <w:p>
            <w:pPr>
              <w:pStyle w:val="Normal"/>
              <w:ind w:start="720" w:end="0"/>
              <w:rPr>
                <w:rFonts w:ascii="Tahoma" w:hAnsi="Tahoma" w:cs="Tahoma"/>
                <w:sz w:val="20"/>
              </w:rPr>
            </w:pPr>
            <w:r>
              <w:rPr>
                <w:rFonts w:cs="Tahoma" w:ascii="Tahoma" w:hAnsi="Tahoma"/>
                <w:sz w:val="20"/>
              </w:rPr>
              <w:t>5 off</w:t>
            </w:r>
          </w:p>
        </w:tc>
        <w:tc>
          <w:tcPr>
            <w:tcW w:w="3474" w:type="dxa"/>
            <w:tcBorders/>
          </w:tcPr>
          <w:p>
            <w:pPr>
              <w:pStyle w:val="BodyTextIndent"/>
              <w:ind w:start="738" w:end="0"/>
              <w:rPr>
                <w:rFonts w:ascii="Tahoma" w:hAnsi="Tahoma" w:cs="Tahoma"/>
                <w:sz w:val="20"/>
              </w:rPr>
            </w:pPr>
            <w:r>
              <w:rPr>
                <w:rFonts w:cs="Tahoma" w:ascii="Tahoma" w:hAnsi="Tahoma"/>
                <w:sz w:val="20"/>
              </w:rPr>
              <w:t>Tech 3:  for 9 months</w:t>
            </w:r>
          </w:p>
        </w:tc>
      </w:tr>
      <w:tr>
        <w:trPr/>
        <w:tc>
          <w:tcPr>
            <w:tcW w:w="4662" w:type="dxa"/>
            <w:tcBorders/>
          </w:tcPr>
          <w:p>
            <w:pPr>
              <w:pStyle w:val="Normal"/>
              <w:ind w:start="720" w:end="0"/>
              <w:rPr>
                <w:rFonts w:ascii="Tahoma" w:hAnsi="Tahoma" w:cs="Tahoma"/>
                <w:sz w:val="20"/>
              </w:rPr>
            </w:pPr>
            <w:r>
              <w:rPr>
                <w:rFonts w:cs="Tahoma" w:ascii="Tahoma" w:hAnsi="Tahoma"/>
                <w:sz w:val="20"/>
              </w:rPr>
              <w:t>5 nights</w:t>
            </w:r>
          </w:p>
        </w:tc>
        <w:tc>
          <w:tcPr>
            <w:tcW w:w="3474" w:type="dxa"/>
            <w:tcBorders/>
          </w:tcPr>
          <w:p>
            <w:pPr>
              <w:pStyle w:val="BodyTextIndent"/>
              <w:ind w:start="738" w:end="0"/>
              <w:rPr>
                <w:rFonts w:ascii="Tahoma" w:hAnsi="Tahoma" w:cs="Tahoma"/>
                <w:sz w:val="20"/>
              </w:rPr>
            </w:pPr>
            <w:r>
              <w:rPr>
                <w:rFonts w:cs="Tahoma" w:ascii="Tahoma" w:hAnsi="Tahoma"/>
                <w:sz w:val="20"/>
              </w:rPr>
              <w:t>Tech 4:  for 18 months</w:t>
            </w:r>
          </w:p>
        </w:tc>
      </w:tr>
      <w:tr>
        <w:trPr/>
        <w:tc>
          <w:tcPr>
            <w:tcW w:w="4662" w:type="dxa"/>
            <w:tcBorders/>
          </w:tcPr>
          <w:p>
            <w:pPr>
              <w:pStyle w:val="Normal"/>
              <w:ind w:start="720" w:end="0"/>
              <w:rPr>
                <w:rFonts w:ascii="Tahoma" w:hAnsi="Tahoma" w:cs="Tahoma"/>
                <w:sz w:val="20"/>
              </w:rPr>
            </w:pPr>
            <w:r>
              <w:rPr>
                <w:rFonts w:cs="Tahoma" w:ascii="Tahoma" w:hAnsi="Tahoma"/>
                <w:sz w:val="20"/>
              </w:rPr>
              <w:t>4 off</w:t>
            </w:r>
          </w:p>
        </w:tc>
        <w:tc>
          <w:tcPr>
            <w:tcW w:w="3474" w:type="dxa"/>
            <w:tcBorders/>
          </w:tcPr>
          <w:p>
            <w:pPr>
              <w:pStyle w:val="Normal"/>
              <w:tabs>
                <w:tab w:val="clear" w:pos="720"/>
                <w:tab w:val="left" w:pos="1080" w:leader="none"/>
              </w:tabs>
              <w:ind w:start="738" w:end="0"/>
              <w:rPr>
                <w:rFonts w:ascii="Tahoma" w:hAnsi="Tahoma" w:cs="Tahoma"/>
                <w:sz w:val="20"/>
              </w:rPr>
            </w:pPr>
            <w:r>
              <w:rPr>
                <w:rFonts w:cs="Tahoma" w:ascii="Tahoma" w:hAnsi="Tahoma"/>
                <w:sz w:val="20"/>
              </w:rPr>
              <w:t>Tech 5:  forever</w:t>
            </w:r>
          </w:p>
        </w:tc>
      </w:tr>
      <w:tr>
        <w:trPr/>
        <w:tc>
          <w:tcPr>
            <w:tcW w:w="4662" w:type="dxa"/>
            <w:tcBorders/>
          </w:tcPr>
          <w:p>
            <w:pPr>
              <w:pStyle w:val="Normal"/>
              <w:ind w:start="720" w:end="0"/>
              <w:rPr>
                <w:rFonts w:ascii="Tahoma" w:hAnsi="Tahoma" w:cs="Tahoma"/>
                <w:sz w:val="20"/>
              </w:rPr>
            </w:pPr>
            <w:r>
              <w:rPr>
                <w:rFonts w:cs="Tahoma" w:ascii="Tahoma" w:hAnsi="Tahoma"/>
                <w:sz w:val="20"/>
              </w:rPr>
              <w:t>5 days</w:t>
            </w:r>
          </w:p>
        </w:tc>
        <w:tc>
          <w:tcPr>
            <w:tcW w:w="3474" w:type="dxa"/>
            <w:tcBorders/>
          </w:tcPr>
          <w:p>
            <w:pPr>
              <w:pStyle w:val="Normal"/>
              <w:snapToGrid w:val="false"/>
              <w:rPr>
                <w:rFonts w:ascii="Tahoma" w:hAnsi="Tahoma" w:cs="Tahoma"/>
                <w:sz w:val="20"/>
              </w:rPr>
            </w:pPr>
            <w:r>
              <w:rPr>
                <w:rFonts w:cs="Tahoma" w:ascii="Tahoma" w:hAnsi="Tahoma"/>
                <w:sz w:val="20"/>
              </w:rPr>
            </w:r>
          </w:p>
        </w:tc>
      </w:tr>
    </w:tbl>
    <w:p>
      <w:pPr>
        <w:pStyle w:val="BodyTextIndent2"/>
        <w:ind w:start="0" w:end="0"/>
        <w:jc w:val="both"/>
        <w:rPr>
          <w:rFonts w:ascii="Tahoma" w:hAnsi="Tahoma" w:cs="Tahoma"/>
          <w:sz w:val="20"/>
        </w:rPr>
      </w:pPr>
      <w:r>
        <w:rPr>
          <w:rFonts w:cs="Tahoma" w:ascii="Tahoma" w:hAnsi="Tahoma"/>
          <w:sz w:val="20"/>
        </w:rPr>
      </w:r>
    </w:p>
    <w:p>
      <w:pPr>
        <w:pStyle w:val="Normal"/>
        <w:numPr>
          <w:ilvl w:val="0"/>
          <w:numId w:val="3"/>
        </w:numPr>
        <w:tabs>
          <w:tab w:val="clear" w:pos="720"/>
          <w:tab w:val="left" w:pos="1080" w:leader="none"/>
        </w:tabs>
        <w:jc w:val="both"/>
        <w:rPr>
          <w:rFonts w:ascii="Tahoma" w:hAnsi="Tahoma" w:cs="Tahoma"/>
          <w:sz w:val="20"/>
        </w:rPr>
      </w:pPr>
      <w:r>
        <w:rPr>
          <w:rFonts w:cs="Tahoma" w:ascii="Tahoma" w:hAnsi="Tahoma"/>
          <w:sz w:val="20"/>
        </w:rPr>
        <w:t>Productivity Incentive calculations have been provided.  Incentive pools begin to accrue after monthly production goals have been met or exceeded.  There has been no payout on the productivity bonus for the last 2 years.</w:t>
      </w:r>
    </w:p>
    <w:p>
      <w:pPr>
        <w:pStyle w:val="Normal"/>
        <w:numPr>
          <w:ilvl w:val="0"/>
          <w:numId w:val="3"/>
        </w:numPr>
        <w:tabs>
          <w:tab w:val="clear" w:pos="720"/>
          <w:tab w:val="left" w:pos="1080" w:leader="none"/>
        </w:tabs>
        <w:jc w:val="both"/>
        <w:rPr>
          <w:rFonts w:ascii="Tahoma" w:hAnsi="Tahoma" w:cs="Tahoma"/>
          <w:sz w:val="20"/>
        </w:rPr>
      </w:pPr>
      <w:r>
        <w:rPr>
          <w:rFonts w:cs="Tahoma" w:ascii="Tahoma" w:hAnsi="Tahoma"/>
          <w:sz w:val="20"/>
        </w:rPr>
        <w:t xml:space="preserve">Safety Incentive:  </w:t>
      </w:r>
    </w:p>
    <w:p>
      <w:pPr>
        <w:pStyle w:val="BodyTextIndent2"/>
        <w:jc w:val="both"/>
        <w:rPr>
          <w:rFonts w:ascii="Tahoma" w:hAnsi="Tahoma" w:cs="Tahoma"/>
          <w:sz w:val="20"/>
        </w:rPr>
      </w:pPr>
      <w:r>
        <w:rPr>
          <w:rFonts w:cs="Tahoma" w:ascii="Tahoma" w:hAnsi="Tahoma"/>
          <w:sz w:val="20"/>
        </w:rPr>
        <w:t>One month without a recordable incident equals $100.</w:t>
      </w:r>
    </w:p>
    <w:p>
      <w:pPr>
        <w:pStyle w:val="BodyTextIndent2"/>
        <w:jc w:val="both"/>
        <w:rPr>
          <w:rFonts w:ascii="Tahoma" w:hAnsi="Tahoma" w:cs="Tahoma"/>
          <w:sz w:val="20"/>
        </w:rPr>
      </w:pPr>
      <w:r>
        <w:rPr>
          <w:rFonts w:cs="Tahoma" w:ascii="Tahoma" w:hAnsi="Tahoma"/>
          <w:sz w:val="20"/>
        </w:rPr>
        <w:t>Entire mine without a recordable, an additional $25 payout.</w:t>
      </w:r>
    </w:p>
    <w:p>
      <w:pPr>
        <w:pStyle w:val="BodyTextIndent2"/>
        <w:jc w:val="both"/>
        <w:rPr>
          <w:rFonts w:ascii="Tahoma" w:hAnsi="Tahoma" w:cs="Tahoma"/>
          <w:sz w:val="20"/>
        </w:rPr>
      </w:pPr>
      <w:r>
        <w:rPr>
          <w:rFonts w:cs="Tahoma" w:ascii="Tahoma" w:hAnsi="Tahoma"/>
          <w:sz w:val="20"/>
        </w:rPr>
        <w:t xml:space="preserve">If an employee has a recordable, they lose eligibility for the program for 2 months. </w:t>
      </w:r>
    </w:p>
    <w:p>
      <w:pPr>
        <w:pStyle w:val="BodyTextIndent2"/>
        <w:jc w:val="both"/>
        <w:rPr>
          <w:rFonts w:ascii="Tahoma" w:hAnsi="Tahoma" w:cs="Tahoma"/>
          <w:sz w:val="20"/>
        </w:rPr>
      </w:pPr>
      <w:r>
        <w:rPr>
          <w:rFonts w:cs="Tahoma" w:ascii="Tahoma" w:hAnsi="Tahoma"/>
          <w:sz w:val="20"/>
        </w:rPr>
      </w:r>
    </w:p>
    <w:p>
      <w:pPr>
        <w:pStyle w:val="BodyTextIndent2"/>
        <w:numPr>
          <w:ilvl w:val="0"/>
          <w:numId w:val="3"/>
        </w:numPr>
        <w:jc w:val="both"/>
        <w:rPr>
          <w:rFonts w:ascii="Tahoma" w:hAnsi="Tahoma" w:cs="Tahoma"/>
          <w:sz w:val="20"/>
        </w:rPr>
      </w:pPr>
      <w:r>
        <w:rPr>
          <w:rFonts w:cs="Tahoma" w:ascii="Tahoma" w:hAnsi="Tahoma"/>
          <w:sz w:val="20"/>
        </w:rPr>
        <w:t>None of the employees at the mine level or division office have employment agreements.  More research required on Fairview Heights location. The most senior management level would probably have some type of agreement.</w:t>
      </w:r>
    </w:p>
    <w:p>
      <w:pPr>
        <w:pStyle w:val="BodyTextIndent2"/>
        <w:tabs>
          <w:tab w:val="clear" w:pos="1080"/>
        </w:tabs>
        <w:rPr>
          <w:rFonts w:ascii="Tahoma" w:hAnsi="Tahoma" w:cs="Tahoma"/>
          <w:sz w:val="20"/>
        </w:rPr>
      </w:pPr>
      <w:r>
        <w:rPr>
          <w:rFonts w:cs="Tahoma" w:ascii="Tahoma" w:hAnsi="Tahoma"/>
          <w:sz w:val="20"/>
        </w:rPr>
      </w:r>
    </w:p>
    <w:p>
      <w:pPr>
        <w:pStyle w:val="Heading2"/>
        <w:ind w:hanging="0" w:start="0"/>
        <w:rPr>
          <w:rFonts w:ascii="Castellar" w:hAnsi="Castellar" w:cs="Tahoma"/>
          <w:b w:val="false"/>
          <w:bCs w:val="false"/>
          <w:sz w:val="20"/>
        </w:rPr>
      </w:pPr>
      <w:r>
        <w:rPr>
          <w:rFonts w:cs="Castellar" w:ascii="Castellar" w:hAnsi="Castellar"/>
          <w:sz w:val="20"/>
        </w:rPr>
        <w:t>To be provided in final due diligence:</w:t>
      </w:r>
    </w:p>
    <w:p>
      <w:pPr>
        <w:pStyle w:val="BodyTextIndent2"/>
        <w:tabs>
          <w:tab w:val="clear" w:pos="1080"/>
        </w:tabs>
        <w:ind w:start="0" w:end="0"/>
        <w:rPr>
          <w:rFonts w:ascii="Tahoma" w:hAnsi="Tahoma" w:cs="Tahoma"/>
          <w:b/>
          <w:bCs/>
          <w:sz w:val="20"/>
        </w:rPr>
      </w:pPr>
      <w:r>
        <w:rPr>
          <w:rFonts w:cs="Tahoma" w:ascii="Tahoma" w:hAnsi="Tahoma"/>
          <w:b/>
          <w:bCs/>
          <w:sz w:val="20"/>
        </w:rPr>
      </w:r>
    </w:p>
    <w:p>
      <w:pPr>
        <w:pStyle w:val="BodyTextIndent2"/>
        <w:numPr>
          <w:ilvl w:val="0"/>
          <w:numId w:val="3"/>
        </w:numPr>
        <w:jc w:val="both"/>
        <w:rPr>
          <w:rFonts w:ascii="Tahoma" w:hAnsi="Tahoma" w:cs="Tahoma"/>
          <w:sz w:val="20"/>
        </w:rPr>
      </w:pPr>
      <w:r>
        <w:rPr>
          <w:rFonts w:cs="Tahoma" w:ascii="Tahoma" w:hAnsi="Tahoma"/>
          <w:sz w:val="20"/>
        </w:rPr>
        <w:t xml:space="preserve">Copy of all employment contracts, or a summary of all “golden parachute” or severance liabilities that any of the companies may be responsible for by individual employee, officer or contractor.   </w:t>
      </w:r>
    </w:p>
    <w:p>
      <w:pPr>
        <w:pStyle w:val="BodyTextIndent2"/>
        <w:numPr>
          <w:ilvl w:val="0"/>
          <w:numId w:val="3"/>
        </w:numPr>
        <w:jc w:val="both"/>
        <w:rPr>
          <w:rFonts w:ascii="Tahoma" w:hAnsi="Tahoma" w:cs="Tahoma"/>
          <w:sz w:val="20"/>
        </w:rPr>
      </w:pPr>
      <w:r>
        <w:rPr>
          <w:rFonts w:cs="Tahoma" w:ascii="Tahoma" w:hAnsi="Tahoma"/>
          <w:sz w:val="20"/>
        </w:rPr>
        <w:t>Any bonus, incentive or compensatory plans or program (executive deferred compensation plans or arrangements)</w:t>
      </w:r>
    </w:p>
    <w:p>
      <w:pPr>
        <w:pStyle w:val="BodyTextIndent2"/>
        <w:numPr>
          <w:ilvl w:val="0"/>
          <w:numId w:val="3"/>
        </w:numPr>
        <w:jc w:val="both"/>
        <w:rPr>
          <w:rFonts w:ascii="Tahoma" w:hAnsi="Tahoma" w:cs="Tahoma"/>
          <w:sz w:val="20"/>
        </w:rPr>
      </w:pPr>
      <w:r>
        <w:rPr>
          <w:rFonts w:cs="Tahoma" w:ascii="Tahoma" w:hAnsi="Tahoma"/>
          <w:sz w:val="20"/>
        </w:rPr>
        <w:t>Compensation, promotional, and pay increase criteria and philosophies (e.g. seniority or meritocracy).  Include employee salary history for the last 3 years and any compensation market data/surveys.</w:t>
      </w:r>
    </w:p>
    <w:p>
      <w:pPr>
        <w:pStyle w:val="BodyTextIndent2"/>
        <w:ind w:start="0" w:end="0"/>
        <w:rPr>
          <w:rFonts w:ascii="Tahoma" w:hAnsi="Tahoma" w:cs="Tahoma"/>
          <w:sz w:val="18"/>
        </w:rPr>
      </w:pPr>
      <w:r>
        <w:rPr>
          <w:rFonts w:cs="Tahoma" w:ascii="Tahoma" w:hAnsi="Tahoma"/>
          <w:sz w:val="18"/>
        </w:rPr>
      </w:r>
    </w:p>
    <w:p>
      <w:pPr>
        <w:pStyle w:val="Heading1"/>
        <w:ind w:hanging="0" w:start="0"/>
        <w:rPr>
          <w:rFonts w:ascii="Tahoma" w:hAnsi="Tahoma" w:cs="Tahoma"/>
          <w:sz w:val="20"/>
          <w:lang w:val="en-CA" w:eastAsia="en-CA"/>
        </w:rPr>
      </w:pPr>
      <w:r>
        <w:rPr>
          <w:rFonts w:cs="Tahoma" w:ascii="Tahoma" w:hAnsi="Tahoma"/>
          <w:sz w:val="20"/>
          <w:lang w:val="en-CA" w:eastAsia="en-CA"/>
        </w:rPr>
      </w:r>
      <w:r>
        <w:br w:type="page"/>
      </w:r>
      <w:r>
        <mc:AlternateContent>
          <mc:Choice Requires="wps">
            <w:drawing>
              <wp:anchor behindDoc="0" distT="0" distB="0" distL="114935" distR="114935" simplePos="0" locked="0" layoutInCell="1" allowOverlap="1" relativeHeight="9">
                <wp:simplePos x="0" y="0"/>
                <wp:positionH relativeFrom="column">
                  <wp:posOffset>337185</wp:posOffset>
                </wp:positionH>
                <wp:positionV relativeFrom="paragraph">
                  <wp:posOffset>54610</wp:posOffset>
                </wp:positionV>
                <wp:extent cx="5612130" cy="3211830"/>
                <wp:effectExtent l="0" t="0" r="0" b="0"/>
                <wp:wrapNone/>
                <wp:docPr id="8" name="Frame7"/>
                <a:graphic xmlns:a="http://schemas.openxmlformats.org/drawingml/2006/main">
                  <a:graphicData uri="http://schemas.microsoft.com/office/word/2010/wordprocessingShape">
                    <wps:wsp>
                      <wps:cNvSpPr txBox="1"/>
                      <wps:spPr>
                        <a:xfrm>
                          <a:off x="0" y="0"/>
                          <a:ext cx="5612130" cy="3211830"/>
                        </a:xfrm>
                        <a:prstGeom prst="rect"/>
                        <a:solidFill>
                          <a:srgbClr val="FFFFFF"/>
                        </a:solidFill>
                        <a:ln w="38100">
                          <a:solidFill>
                            <a:srgbClr val="000000"/>
                          </a:solidFill>
                        </a:ln>
                      </wps:spPr>
                      <wps:txbx>
                        <w:txbxContent>
                          <w:p>
                            <w:pPr>
                              <w:pStyle w:val="Heading2"/>
                              <w:ind w:hanging="0" w:start="0"/>
                              <w:rPr>
                                <w:rFonts w:ascii="Castellar" w:hAnsi="Castellar" w:cs="Castellar"/>
                                <w:sz w:val="20"/>
                              </w:rPr>
                            </w:pPr>
                            <w:r>
                              <w:rPr>
                                <w:rFonts w:cs="Castellar" w:ascii="Castellar" w:hAnsi="Castellar"/>
                                <w:sz w:val="20"/>
                              </w:rPr>
                              <w:t>OBSERVATIONS / Recommendations</w:t>
                            </w:r>
                          </w:p>
                          <w:p>
                            <w:pPr>
                              <w:pStyle w:val="Subtitle"/>
                              <w:ind w:firstLine="360" w:end="0"/>
                              <w:jc w:val="both"/>
                              <w:rPr>
                                <w:rFonts w:ascii="Tahoma" w:hAnsi="Tahoma" w:cs="Tahoma"/>
                                <w:b w:val="false"/>
                                <w:bCs w:val="false"/>
                                <w:sz w:val="20"/>
                              </w:rPr>
                            </w:pPr>
                            <w:r>
                              <w:rPr>
                                <w:rFonts w:cs="Tahoma" w:ascii="Tahoma" w:hAnsi="Tahoma"/>
                                <w:b w:val="false"/>
                                <w:bCs w:val="false"/>
                                <w:sz w:val="20"/>
                              </w:rPr>
                              <w:t xml:space="preserve">Compensation grades were provided for positions and levels within the mine and warehouse.  However, no information was supplied regarding executive compensation or additional employee data.  As previously stated, management recognizes the level of compensation in the mine is lower than the competitors operating in the immediate area.  Employees have an expectation their compensation level will increase with the purchase of the mine.  Triton management indicated survey information regarding mining positions is available for the PRB.  Enron would need to view this data before any firm commitment is made.  Any base salary increases may effect the valuation of the deal from Enron’s perspective.  </w:t>
                            </w:r>
                          </w:p>
                          <w:p>
                            <w:pPr>
                              <w:pStyle w:val="Subtitle"/>
                              <w:ind w:firstLine="360" w:end="0"/>
                              <w:jc w:val="both"/>
                              <w:rPr>
                                <w:rFonts w:ascii="Tahoma" w:hAnsi="Tahoma" w:cs="Tahoma"/>
                                <w:b w:val="false"/>
                                <w:bCs w:val="false"/>
                                <w:sz w:val="20"/>
                              </w:rPr>
                            </w:pPr>
                            <w:r>
                              <w:rPr>
                                <w:rFonts w:cs="Tahoma" w:ascii="Tahoma" w:hAnsi="Tahoma"/>
                                <w:b w:val="false"/>
                                <w:bCs w:val="false"/>
                                <w:sz w:val="20"/>
                              </w:rPr>
                              <w:t xml:space="preserve">Two incentive programs are in operation in the mine.  A production incentive plan and a safety incentive plan.  Once predetermined production levels are met, a pool accumulates based on the employees hourly contribution, set incentive percentages of base salary and individual mine production.  This incentive has not been paid in the last two years.  The safety incentive plan is based on the number of MSHA recordable injuries at the individual and mine level. The EWS compensation group has reviewed these plans and indicates no obvious flaws.  A concern does exist regarding the safety incentive plan.  There is a concern that the plan may promote the non-reporting of injuries that if untreated, may lead to large workers compensation claims.  More investigation during final due diligence is needed to determine if this is in fact the case. </w:t>
                            </w:r>
                          </w:p>
                          <w:p>
                            <w:pPr>
                              <w:pStyle w:val="Normal"/>
                              <w:rPr>
                                <w:rFonts w:ascii="Tahoma" w:hAnsi="Tahoma" w:cs="Tahoma"/>
                                <w:b/>
                                <w:bCs/>
                                <w:sz w:val="20"/>
                              </w:rPr>
                            </w:pPr>
                            <w:r>
                              <w:rPr>
                                <w:rFonts w:cs="Tahoma" w:ascii="Tahoma" w:hAnsi="Tahoma"/>
                                <w:b/>
                                <w:bCs/>
                                <w:sz w:val="20"/>
                              </w:rPr>
                            </w:r>
                          </w:p>
                          <w:p>
                            <w:pPr>
                              <w:pStyle w:val="Normal"/>
                              <w:ind w:end="0"/>
                              <w:rPr/>
                            </w:pPr>
                            <w:r>
                              <w:rPr/>
                            </w:r>
                          </w:p>
                        </w:txbxContent>
                      </wps:txbx>
                      <wps:bodyPr anchor="t" lIns="68580" tIns="22860" rIns="68580" bIns="22860">
                        <a:noAutofit/>
                      </wps:bodyPr>
                    </wps:wsp>
                  </a:graphicData>
                </a:graphic>
              </wp:anchor>
            </w:drawing>
          </mc:Choice>
          <mc:Fallback>
            <w:pict>
              <v:rect fillcolor="#FFFFFF" strokecolor="#000000" strokeweight="3pt" style="position:absolute;rotation:-0;width:441.9pt;height:252.9pt;mso-wrap-distance-left:9.05pt;mso-wrap-distance-right:9.05pt;mso-wrap-distance-top:0pt;mso-wrap-distance-bottom:0pt;margin-top:4.3pt;mso-position-vertical-relative:text;margin-left:26.55pt;mso-position-horizontal-relative:text">
                <v:textbox inset="0.075in,0.025in,0.075in,0.025in">
                  <w:txbxContent>
                    <w:p>
                      <w:pPr>
                        <w:pStyle w:val="Heading2"/>
                        <w:ind w:hanging="0" w:start="0"/>
                        <w:rPr>
                          <w:rFonts w:ascii="Castellar" w:hAnsi="Castellar" w:cs="Castellar"/>
                          <w:sz w:val="20"/>
                        </w:rPr>
                      </w:pPr>
                      <w:r>
                        <w:rPr>
                          <w:rFonts w:cs="Castellar" w:ascii="Castellar" w:hAnsi="Castellar"/>
                          <w:sz w:val="20"/>
                        </w:rPr>
                        <w:t>OBSERVATIONS / Recommendations</w:t>
                      </w:r>
                    </w:p>
                    <w:p>
                      <w:pPr>
                        <w:pStyle w:val="Subtitle"/>
                        <w:ind w:firstLine="360" w:end="0"/>
                        <w:jc w:val="both"/>
                        <w:rPr>
                          <w:rFonts w:ascii="Tahoma" w:hAnsi="Tahoma" w:cs="Tahoma"/>
                          <w:b w:val="false"/>
                          <w:bCs w:val="false"/>
                          <w:sz w:val="20"/>
                        </w:rPr>
                      </w:pPr>
                      <w:r>
                        <w:rPr>
                          <w:rFonts w:cs="Tahoma" w:ascii="Tahoma" w:hAnsi="Tahoma"/>
                          <w:b w:val="false"/>
                          <w:bCs w:val="false"/>
                          <w:sz w:val="20"/>
                        </w:rPr>
                        <w:t xml:space="preserve">Compensation grades were provided for positions and levels within the mine and warehouse.  However, no information was supplied regarding executive compensation or additional employee data.  As previously stated, management recognizes the level of compensation in the mine is lower than the competitors operating in the immediate area.  Employees have an expectation their compensation level will increase with the purchase of the mine.  Triton management indicated survey information regarding mining positions is available for the PRB.  Enron would need to view this data before any firm commitment is made.  Any base salary increases may effect the valuation of the deal from Enron’s perspective.  </w:t>
                      </w:r>
                    </w:p>
                    <w:p>
                      <w:pPr>
                        <w:pStyle w:val="Subtitle"/>
                        <w:ind w:firstLine="360" w:end="0"/>
                        <w:jc w:val="both"/>
                        <w:rPr>
                          <w:rFonts w:ascii="Tahoma" w:hAnsi="Tahoma" w:cs="Tahoma"/>
                          <w:b w:val="false"/>
                          <w:bCs w:val="false"/>
                          <w:sz w:val="20"/>
                        </w:rPr>
                      </w:pPr>
                      <w:r>
                        <w:rPr>
                          <w:rFonts w:cs="Tahoma" w:ascii="Tahoma" w:hAnsi="Tahoma"/>
                          <w:b w:val="false"/>
                          <w:bCs w:val="false"/>
                          <w:sz w:val="20"/>
                        </w:rPr>
                        <w:t xml:space="preserve">Two incentive programs are in operation in the mine.  A production incentive plan and a safety incentive plan.  Once predetermined production levels are met, a pool accumulates based on the employees hourly contribution, set incentive percentages of base salary and individual mine production.  This incentive has not been paid in the last two years.  The safety incentive plan is based on the number of MSHA recordable injuries at the individual and mine level. The EWS compensation group has reviewed these plans and indicates no obvious flaws.  A concern does exist regarding the safety incentive plan.  There is a concern that the plan may promote the non-reporting of injuries that if untreated, may lead to large workers compensation claims.  More investigation during final due diligence is needed to determine if this is in fact the case. </w:t>
                      </w:r>
                    </w:p>
                    <w:p>
                      <w:pPr>
                        <w:pStyle w:val="Normal"/>
                        <w:rPr>
                          <w:rFonts w:ascii="Tahoma" w:hAnsi="Tahoma" w:cs="Tahoma"/>
                          <w:b/>
                          <w:bCs/>
                          <w:sz w:val="20"/>
                        </w:rPr>
                      </w:pPr>
                      <w:r>
                        <w:rPr>
                          <w:rFonts w:cs="Tahoma" w:ascii="Tahoma" w:hAnsi="Tahoma"/>
                          <w:b/>
                          <w:bCs/>
                          <w:sz w:val="20"/>
                        </w:rPr>
                      </w:r>
                    </w:p>
                    <w:p>
                      <w:pPr>
                        <w:pStyle w:val="Normal"/>
                        <w:ind w:end="0"/>
                        <w:rPr/>
                      </w:pPr>
                      <w:r>
                        <w:rPr/>
                      </w:r>
                    </w:p>
                  </w:txbxContent>
                </v:textbox>
                <w10:wrap type="none"/>
              </v:rect>
            </w:pict>
          </mc:Fallback>
        </mc:AlternateContent>
      </w:r>
    </w:p>
    <w:p>
      <w:pPr>
        <w:pStyle w:val="Normal"/>
        <w:rPr>
          <w:rFonts w:ascii="Tahoma" w:hAnsi="Tahoma" w:cs="Tahoma"/>
        </w:rPr>
      </w:pPr>
      <w:r>
        <w:rPr>
          <w:rFonts w:eastAsia="Tahoma" w:cs="Tahoma" w:ascii="Tahoma" w:hAnsi="Tahoma"/>
          <w:sz w:val="20"/>
        </w:rPr>
        <w:t xml:space="preserve"> </w:t>
      </w:r>
      <w:r>
        <mc:AlternateContent>
          <mc:Choice Requires="wps">
            <w:drawing>
              <wp:anchor behindDoc="0" distT="0" distB="0" distL="114935" distR="114935" simplePos="0" locked="0" layoutInCell="1" allowOverlap="1" relativeHeight="10">
                <wp:simplePos x="0" y="0"/>
                <wp:positionH relativeFrom="column">
                  <wp:posOffset>222885</wp:posOffset>
                </wp:positionH>
                <wp:positionV relativeFrom="paragraph">
                  <wp:posOffset>-234315</wp:posOffset>
                </wp:positionV>
                <wp:extent cx="5612130" cy="1268730"/>
                <wp:effectExtent l="0" t="0" r="0" b="0"/>
                <wp:wrapNone/>
                <wp:docPr id="9" name="Frame8"/>
                <a:graphic xmlns:a="http://schemas.openxmlformats.org/drawingml/2006/main">
                  <a:graphicData uri="http://schemas.microsoft.com/office/word/2010/wordprocessingShape">
                    <wps:wsp>
                      <wps:cNvSpPr txBox="1"/>
                      <wps:spPr>
                        <a:xfrm>
                          <a:off x="0" y="0"/>
                          <a:ext cx="5612130" cy="1268730"/>
                        </a:xfrm>
                        <a:prstGeom prst="rect"/>
                        <a:solidFill>
                          <a:srgbClr val="FFFFFF"/>
                        </a:solidFill>
                        <a:ln w="38100">
                          <a:solidFill>
                            <a:srgbClr val="000000"/>
                          </a:solidFill>
                        </a:ln>
                      </wps:spPr>
                      <wps:txbx>
                        <w:txbxContent>
                          <w:p>
                            <w:pPr>
                              <w:pStyle w:val="Heading2"/>
                              <w:ind w:hanging="0" w:start="0"/>
                              <w:rPr/>
                            </w:pPr>
                            <w:r>
                              <w:rPr>
                                <w:rFonts w:cs="Castellar" w:ascii="Castellar" w:hAnsi="Castellar"/>
                                <w:sz w:val="20"/>
                              </w:rPr>
                              <w:t>OBSERVATIONS / Recommendations</w:t>
                            </w:r>
                            <w:r>
                              <w:rPr>
                                <w:rFonts w:cs="Castellar" w:ascii="Castellar" w:hAnsi="Castellar"/>
                                <w:b w:val="false"/>
                                <w:bCs w:val="false"/>
                                <w:sz w:val="20"/>
                              </w:rPr>
                              <w:t xml:space="preserve"> (.Cont’d)</w:t>
                            </w:r>
                          </w:p>
                          <w:p>
                            <w:pPr>
                              <w:pStyle w:val="BodyTextIndent2"/>
                              <w:tabs>
                                <w:tab w:val="clear" w:pos="1080"/>
                              </w:tabs>
                              <w:ind w:firstLine="360" w:start="0" w:end="0"/>
                              <w:jc w:val="both"/>
                              <w:rPr>
                                <w:rFonts w:ascii="Tahoma" w:hAnsi="Tahoma" w:cs="Tahoma"/>
                                <w:sz w:val="20"/>
                              </w:rPr>
                            </w:pPr>
                            <w:r>
                              <w:rPr>
                                <w:rFonts w:cs="Tahoma" w:ascii="Tahoma" w:hAnsi="Tahoma"/>
                                <w:sz w:val="20"/>
                              </w:rPr>
                              <w:t xml:space="preserve">Copies of employment contracts are needed to determine if any long-term commitments are present for any employees.  Enron will need to determine if any “golden parachute”, severance or change of control payment are present.  </w:t>
                            </w:r>
                          </w:p>
                          <w:p>
                            <w:pPr>
                              <w:pStyle w:val="BodyTextIndent2"/>
                              <w:tabs>
                                <w:tab w:val="clear" w:pos="1080"/>
                              </w:tabs>
                              <w:ind w:firstLine="360" w:start="0" w:end="0"/>
                              <w:jc w:val="both"/>
                              <w:rPr>
                                <w:rFonts w:ascii="Tahoma" w:hAnsi="Tahoma" w:cs="Tahoma"/>
                                <w:sz w:val="20"/>
                              </w:rPr>
                            </w:pPr>
                            <w:r>
                              <w:rPr>
                                <w:rFonts w:cs="Tahoma" w:ascii="Tahoma" w:hAnsi="Tahoma"/>
                                <w:sz w:val="20"/>
                              </w:rPr>
                              <w:t>Enron was provided with basic wage rates but no data regarding total costs was presented.  Further due diligence regarding any bonus, incentive or compensatory plans or program is needed.</w:t>
                            </w:r>
                          </w:p>
                          <w:p>
                            <w:pPr>
                              <w:pStyle w:val="Normal"/>
                              <w:rPr>
                                <w:rFonts w:ascii="Tahoma" w:hAnsi="Tahoma" w:cs="Tahoma"/>
                                <w:sz w:val="20"/>
                              </w:rPr>
                            </w:pPr>
                            <w:r>
                              <w:rPr>
                                <w:rFonts w:cs="Tahoma" w:ascii="Tahoma" w:hAnsi="Tahoma"/>
                                <w:sz w:val="20"/>
                              </w:rPr>
                            </w:r>
                          </w:p>
                          <w:p>
                            <w:pPr>
                              <w:pStyle w:val="Normal"/>
                              <w:rPr/>
                            </w:pPr>
                            <w:r>
                              <w:rPr/>
                            </w:r>
                          </w:p>
                          <w:p>
                            <w:pPr>
                              <w:pStyle w:val="Normal"/>
                              <w:ind w:end="0"/>
                              <w:rPr/>
                            </w:pPr>
                            <w:r>
                              <w:rPr/>
                            </w:r>
                          </w:p>
                        </w:txbxContent>
                      </wps:txbx>
                      <wps:bodyPr anchor="t" lIns="68580" tIns="22860" rIns="68580" bIns="22860">
                        <a:noAutofit/>
                      </wps:bodyPr>
                    </wps:wsp>
                  </a:graphicData>
                </a:graphic>
              </wp:anchor>
            </w:drawing>
          </mc:Choice>
          <mc:Fallback>
            <w:pict>
              <v:rect fillcolor="#FFFFFF" strokecolor="#000000" strokeweight="3pt" style="position:absolute;rotation:-0;width:441.9pt;height:99.9pt;mso-wrap-distance-left:9.05pt;mso-wrap-distance-right:9.05pt;mso-wrap-distance-top:0pt;mso-wrap-distance-bottom:0pt;margin-top:-18.45pt;mso-position-vertical-relative:text;margin-left:17.55pt;mso-position-horizontal-relative:text">
                <v:textbox inset="0.075in,0.025in,0.075in,0.025in">
                  <w:txbxContent>
                    <w:p>
                      <w:pPr>
                        <w:pStyle w:val="Heading2"/>
                        <w:ind w:hanging="0" w:start="0"/>
                        <w:rPr/>
                      </w:pPr>
                      <w:r>
                        <w:rPr>
                          <w:rFonts w:cs="Castellar" w:ascii="Castellar" w:hAnsi="Castellar"/>
                          <w:sz w:val="20"/>
                        </w:rPr>
                        <w:t>OBSERVATIONS / Recommendations</w:t>
                      </w:r>
                      <w:r>
                        <w:rPr>
                          <w:rFonts w:cs="Castellar" w:ascii="Castellar" w:hAnsi="Castellar"/>
                          <w:b w:val="false"/>
                          <w:bCs w:val="false"/>
                          <w:sz w:val="20"/>
                        </w:rPr>
                        <w:t xml:space="preserve"> (.Cont’d)</w:t>
                      </w:r>
                    </w:p>
                    <w:p>
                      <w:pPr>
                        <w:pStyle w:val="BodyTextIndent2"/>
                        <w:tabs>
                          <w:tab w:val="clear" w:pos="1080"/>
                        </w:tabs>
                        <w:ind w:firstLine="360" w:start="0" w:end="0"/>
                        <w:jc w:val="both"/>
                        <w:rPr>
                          <w:rFonts w:ascii="Tahoma" w:hAnsi="Tahoma" w:cs="Tahoma"/>
                          <w:sz w:val="20"/>
                        </w:rPr>
                      </w:pPr>
                      <w:r>
                        <w:rPr>
                          <w:rFonts w:cs="Tahoma" w:ascii="Tahoma" w:hAnsi="Tahoma"/>
                          <w:sz w:val="20"/>
                        </w:rPr>
                        <w:t xml:space="preserve">Copies of employment contracts are needed to determine if any long-term commitments are present for any employees.  Enron will need to determine if any “golden parachute”, severance or change of control payment are present.  </w:t>
                      </w:r>
                    </w:p>
                    <w:p>
                      <w:pPr>
                        <w:pStyle w:val="BodyTextIndent2"/>
                        <w:tabs>
                          <w:tab w:val="clear" w:pos="1080"/>
                        </w:tabs>
                        <w:ind w:firstLine="360" w:start="0" w:end="0"/>
                        <w:jc w:val="both"/>
                        <w:rPr>
                          <w:rFonts w:ascii="Tahoma" w:hAnsi="Tahoma" w:cs="Tahoma"/>
                          <w:sz w:val="20"/>
                        </w:rPr>
                      </w:pPr>
                      <w:r>
                        <w:rPr>
                          <w:rFonts w:cs="Tahoma" w:ascii="Tahoma" w:hAnsi="Tahoma"/>
                          <w:sz w:val="20"/>
                        </w:rPr>
                        <w:t>Enron was provided with basic wage rates but no data regarding total costs was presented.  Further due diligence regarding any bonus, incentive or compensatory plans or program is needed.</w:t>
                      </w:r>
                    </w:p>
                    <w:p>
                      <w:pPr>
                        <w:pStyle w:val="Normal"/>
                        <w:rPr>
                          <w:rFonts w:ascii="Tahoma" w:hAnsi="Tahoma" w:cs="Tahoma"/>
                          <w:sz w:val="20"/>
                        </w:rPr>
                      </w:pPr>
                      <w:r>
                        <w:rPr>
                          <w:rFonts w:cs="Tahoma" w:ascii="Tahoma" w:hAnsi="Tahoma"/>
                          <w:sz w:val="20"/>
                        </w:rPr>
                      </w:r>
                    </w:p>
                    <w:p>
                      <w:pPr>
                        <w:pStyle w:val="Normal"/>
                        <w:rPr/>
                      </w:pPr>
                      <w:r>
                        <w:rPr/>
                      </w:r>
                    </w:p>
                    <w:p>
                      <w:pPr>
                        <w:pStyle w:val="Normal"/>
                        <w:ind w:end="0"/>
                        <w:rPr/>
                      </w:pPr>
                      <w:r>
                        <w:rPr/>
                      </w:r>
                    </w:p>
                  </w:txbxContent>
                </v:textbox>
                <w10:wrap type="none"/>
              </v:rect>
            </w:pict>
          </mc:Fallback>
        </mc:AlternateContent>
      </w:r>
    </w:p>
    <w:p>
      <w:pPr>
        <w:pStyle w:val="Heading1"/>
        <w:ind w:hanging="0" w:start="0"/>
        <w:rPr/>
      </w:pPr>
      <w:r>
        <w:rPr/>
        <w:t>ENRON GLOBaL MARKETS</w:t>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sectPr>
      <w:headerReference w:type="default" r:id="rId4"/>
      <w:headerReference w:type="first" r:id="rId5"/>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stellar">
    <w:charset w:val="00" w:characterSet="windows-1252"/>
    <w:family w:val="roman"/>
    <w:pitch w:val="variable"/>
  </w:font>
  <w:font w:name="Tahoma">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Courier New">
    <w:charset w:val="00" w:characterSet="windows-1252"/>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76835" cy="175260"/>
              <wp:effectExtent l="0" t="0" r="0" b="0"/>
              <wp:wrapSquare wrapText="bothSides"/>
              <wp:docPr id="1" name="Frame9"/>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r>
      <mc:AlternateContent>
        <mc:Choice Requires="wps">
          <w:drawing>
            <wp:anchor behindDoc="0" distT="0" distB="0" distL="0" distR="0" simplePos="0" locked="0" layoutInCell="0" allowOverlap="1" relativeHeight="17">
              <wp:simplePos x="0" y="0"/>
              <wp:positionH relativeFrom="margin">
                <wp:align>right</wp:align>
              </wp:positionH>
              <wp:positionV relativeFrom="paragraph">
                <wp:posOffset>635</wp:posOffset>
              </wp:positionV>
              <wp:extent cx="153035" cy="175260"/>
              <wp:effectExtent l="0" t="0" r="0" b="0"/>
              <wp:wrapSquare wrapText="bothSides"/>
              <wp:docPr id="10" name="Frame10"/>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19.95pt;mso-position-horizontal:right;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Wingdings" w:hAnsi="Wingdings" w:cs="Wingdings" w:hint="default"/>
      </w:rPr>
    </w:lvl>
  </w:abstractNum>
  <w:abstractNum w:abstractNumId="5">
    <w:lvl w:ilvl="0">
      <w:start w:val="1"/>
      <w:numFmt w:val="bullet"/>
      <w:lvlText w:val=""/>
      <w:lvlJc w:val="start"/>
      <w:pPr>
        <w:tabs>
          <w:tab w:val="num" w:pos="720"/>
        </w:tabs>
        <w:ind w:start="720" w:hanging="360"/>
      </w:pPr>
      <w:rPr>
        <w:rFonts w:ascii="Wingdings" w:hAnsi="Wingdings" w:cs="Wingdings" w:hint="default"/>
      </w:rPr>
    </w:lvl>
  </w:abstractNum>
  <w:abstractNum w:abstractNumId="6">
    <w:lvl w:ilvl="0">
      <w:start w:val="1"/>
      <w:numFmt w:val="bullet"/>
      <w:lvlText w:val=""/>
      <w:lvlJc w:val="start"/>
      <w:pPr>
        <w:tabs>
          <w:tab w:val="num" w:pos="720"/>
        </w:tabs>
        <w:ind w:start="720" w:hanging="360"/>
      </w:pPr>
      <w:rPr>
        <w:rFonts w:ascii="Wingdings" w:hAnsi="Wingdings" w:cs="Wingdings"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7">
    <w:lvl w:ilvl="0">
      <w:start w:val="1"/>
      <w:numFmt w:val="bullet"/>
      <w:lvlText w:val=""/>
      <w:lvlJc w:val="start"/>
      <w:pPr>
        <w:tabs>
          <w:tab w:val="num" w:pos="1080"/>
        </w:tabs>
        <w:ind w:start="1080" w:hanging="360"/>
      </w:pPr>
      <w:rPr>
        <w:rFonts w:ascii="Wingdings" w:hAnsi="Wingdings" w:cs="Wingdings" w:hint="default"/>
      </w:rPr>
    </w:lvl>
  </w:abstractNum>
  <w:abstractNum w:abstractNumId="8">
    <w:lvl w:ilvl="0">
      <w:start w:val="1"/>
      <w:numFmt w:val="bullet"/>
      <w:lvlText w:val=""/>
      <w:lvlJc w:val="start"/>
      <w:pPr>
        <w:tabs>
          <w:tab w:val="num" w:pos="720"/>
        </w:tabs>
        <w:ind w:start="720" w:hanging="360"/>
      </w:pPr>
      <w:rPr>
        <w:rFonts w:ascii="Wingdings" w:hAnsi="Wingdings" w:cs="Wingdings" w:hint="default"/>
      </w:rPr>
    </w:lvl>
  </w:abstractNum>
  <w:abstractNum w:abstractNumId="9">
    <w:lvl w:ilvl="0">
      <w:start w:val="1"/>
      <w:numFmt w:val="bullet"/>
      <w:lvlText w:val=""/>
      <w:lvlJc w:val="start"/>
      <w:pPr>
        <w:tabs>
          <w:tab w:val="num" w:pos="720"/>
        </w:tabs>
        <w:ind w:start="720" w:hanging="360"/>
      </w:pPr>
      <w:rPr>
        <w:rFonts w:ascii="Wingdings" w:hAnsi="Wingdings" w:cs="Wingdings" w:hint="default"/>
      </w:rPr>
    </w:lvl>
  </w:abstractNum>
  <w:abstractNum w:abstractNumId="10">
    <w:lvl w:ilvl="0">
      <w:start w:val="1"/>
      <w:numFmt w:val="bullet"/>
      <w:lvlText w:val=""/>
      <w:lvlJc w:val="start"/>
      <w:pPr>
        <w:tabs>
          <w:tab w:val="num" w:pos="720"/>
        </w:tabs>
        <w:ind w:start="720" w:hanging="360"/>
      </w:pPr>
      <w:rPr>
        <w:rFonts w:ascii="Wingdings" w:hAnsi="Wingdings" w:cs="Wingdings" w:hint="default"/>
      </w:rPr>
    </w:lvl>
  </w:abstractNum>
  <w:abstractNum w:abstractNumId="11">
    <w:lvl w:ilvl="0">
      <w:start w:val="1"/>
      <w:numFmt w:val="bullet"/>
      <w:lvlText w:val=""/>
      <w:lvlJc w:val="start"/>
      <w:pPr>
        <w:tabs>
          <w:tab w:val="num" w:pos="720"/>
        </w:tabs>
        <w:ind w:start="720" w:hanging="360"/>
      </w:pPr>
      <w:rPr>
        <w:rFonts w:ascii="Wingdings" w:hAnsi="Wingdings" w:cs="Wingdings" w:hint="default"/>
      </w:rPr>
    </w:lvl>
  </w:abstractNum>
  <w:abstractNum w:abstractNumId="12">
    <w:lvl w:ilvl="0">
      <w:start w:val="1"/>
      <w:numFmt w:val="bullet"/>
      <w:lvlText w:val=""/>
      <w:lvlJc w:val="start"/>
      <w:pPr>
        <w:tabs>
          <w:tab w:val="num" w:pos="720"/>
        </w:tabs>
        <w:ind w:start="720" w:hanging="360"/>
      </w:pPr>
      <w:rPr>
        <w:rFonts w:ascii="Wingdings" w:hAnsi="Wingdings" w:cs="Wingdings" w:hint="default"/>
      </w:rPr>
    </w:lvl>
  </w:abstractNum>
  <w:abstractNum w:abstractNumId="13">
    <w:lvl w:ilvl="0">
      <w:start w:val="1"/>
      <w:numFmt w:val="bullet"/>
      <w:lvlText w:val=""/>
      <w:lvlJc w:val="start"/>
      <w:pPr>
        <w:tabs>
          <w:tab w:val="num" w:pos="720"/>
        </w:tabs>
        <w:ind w:start="720" w:hanging="360"/>
      </w:pPr>
      <w:rPr>
        <w:rFonts w:ascii="Wingdings" w:hAnsi="Wingdings" w:cs="Wingdings" w:hint="default"/>
      </w:rPr>
    </w:lvl>
  </w:abstractNum>
  <w:abstractNum w:abstractNumId="14">
    <w:lvl w:ilvl="0">
      <w:start w:val="1"/>
      <w:numFmt w:val="bullet"/>
      <w:lvlText w:val=""/>
      <w:lvlJc w:val="start"/>
      <w:pPr>
        <w:tabs>
          <w:tab w:val="num" w:pos="720"/>
        </w:tabs>
        <w:ind w:start="720" w:hanging="360"/>
      </w:pPr>
      <w:rPr>
        <w:rFonts w:ascii="Wingdings" w:hAnsi="Wingdings" w:cs="Wingdings" w:hint="default"/>
      </w:rPr>
    </w:lvl>
  </w:abstractNum>
  <w:abstractNum w:abstractNumId="15">
    <w:lvl w:ilvl="0">
      <w:start w:val="1"/>
      <w:numFmt w:val="bullet"/>
      <w:lvlText w:val=""/>
      <w:lvlJc w:val="start"/>
      <w:pPr>
        <w:tabs>
          <w:tab w:val="num" w:pos="720"/>
        </w:tabs>
        <w:ind w:start="720" w:hanging="360"/>
      </w:pPr>
      <w:rPr>
        <w:rFonts w:ascii="Wingdings" w:hAnsi="Wingdings" w:cs="Wingdings" w:hint="default"/>
      </w:rPr>
    </w:lvl>
  </w:abstractNum>
  <w:abstractNum w:abstractNumId="16">
    <w:lvl w:ilvl="0">
      <w:start w:val="1"/>
      <w:numFmt w:val="bullet"/>
      <w:lvlText w:val=""/>
      <w:lvlJc w:val="start"/>
      <w:pPr>
        <w:tabs>
          <w:tab w:val="num" w:pos="720"/>
        </w:tabs>
        <w:ind w:start="72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Castellar" w:hAnsi="Castellar" w:cs="Tahoma"/>
      <w:b/>
      <w:bCs/>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jc w:val="center"/>
      <w:outlineLvl w:val="2"/>
    </w:pPr>
    <w:rPr>
      <w:rFonts w:ascii="Tahoma" w:hAnsi="Tahoma" w:cs="Tahoma"/>
      <w:b/>
      <w:bCs/>
    </w:rPr>
  </w:style>
  <w:style w:type="paragraph" w:styleId="Heading4">
    <w:name w:val="heading 4"/>
    <w:basedOn w:val="Normal"/>
    <w:next w:val="Normal"/>
    <w:qFormat/>
    <w:pPr>
      <w:keepNext w:val="true"/>
      <w:numPr>
        <w:ilvl w:val="3"/>
        <w:numId w:val="1"/>
      </w:numPr>
      <w:jc w:val="both"/>
      <w:outlineLvl w:val="3"/>
    </w:pPr>
    <w:rPr>
      <w:rFonts w:ascii="Tahoma" w:hAnsi="Tahoma" w:cs="Tahoma"/>
      <w:b/>
      <w:bCs/>
    </w:rPr>
  </w:style>
  <w:style w:type="paragraph" w:styleId="Heading5">
    <w:name w:val="heading 5"/>
    <w:basedOn w:val="Normal"/>
    <w:next w:val="Normal"/>
    <w:qFormat/>
    <w:pPr>
      <w:keepNext w:val="true"/>
      <w:numPr>
        <w:ilvl w:val="4"/>
        <w:numId w:val="1"/>
      </w:numPr>
      <w:ind w:hanging="0" w:start="360" w:end="0"/>
      <w:outlineLvl w:val="4"/>
    </w:pPr>
    <w:rPr>
      <w:rFonts w:ascii="Castellar" w:hAnsi="Castellar" w:cs="Tahoma"/>
      <w:b/>
      <w:bCs/>
      <w:sz w:val="20"/>
    </w:rPr>
  </w:style>
  <w:style w:type="paragraph" w:styleId="Heading6">
    <w:name w:val="heading 6"/>
    <w:basedOn w:val="Normal"/>
    <w:next w:val="Normal"/>
    <w:qFormat/>
    <w:pPr>
      <w:keepNext w:val="true"/>
      <w:numPr>
        <w:ilvl w:val="5"/>
        <w:numId w:val="1"/>
      </w:numPr>
      <w:outlineLvl w:val="5"/>
    </w:pPr>
    <w:rPr>
      <w:rFonts w:ascii="Castellar" w:hAnsi="Castellar" w:cs="Tahoma"/>
      <w:b/>
      <w:bCs/>
      <w:sz w:val="20"/>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0">
    <w:name w:val="WW8Num14z0"/>
    <w:qFormat/>
    <w:rPr>
      <w:rFonts w:ascii="Wingdings" w:hAnsi="Wingdings" w:cs="Wingdings"/>
    </w:rPr>
  </w:style>
  <w:style w:type="character" w:styleId="WW8Num14z1">
    <w:name w:val="WW8Num14z1"/>
    <w:qFormat/>
    <w:rPr>
      <w:rFonts w:ascii="Courier New" w:hAnsi="Courier New" w:cs="Courier New"/>
    </w:rPr>
  </w:style>
  <w:style w:type="character" w:styleId="WW8Num14z3">
    <w:name w:val="WW8Num14z3"/>
    <w:qFormat/>
    <w:rPr>
      <w:rFonts w:ascii="Symbol" w:hAnsi="Symbol" w:cs="Symbol"/>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WW8Num19z0">
    <w:name w:val="WW8Num19z0"/>
    <w:qFormat/>
    <w:rPr>
      <w:rFonts w:ascii="Wingdings" w:hAnsi="Wingdings" w:cs="Wingdings"/>
    </w:rPr>
  </w:style>
  <w:style w:type="character" w:styleId="WW8Num19z1">
    <w:name w:val="WW8Num19z1"/>
    <w:qFormat/>
    <w:rPr>
      <w:rFonts w:ascii="Courier New" w:hAnsi="Courier New" w:cs="Courier New"/>
    </w:rPr>
  </w:style>
  <w:style w:type="character" w:styleId="WW8Num19z3">
    <w:name w:val="WW8Num19z3"/>
    <w:qFormat/>
    <w:rPr>
      <w:rFonts w:ascii="Symbol" w:hAnsi="Symbol" w:cs="Symbol"/>
    </w:rPr>
  </w:style>
  <w:style w:type="character" w:styleId="WW8Num20z0">
    <w:name w:val="WW8Num20z0"/>
    <w:qFormat/>
    <w:rPr>
      <w:rFonts w:ascii="Wingdings" w:hAnsi="Wingdings" w:cs="Wingdings"/>
    </w:rPr>
  </w:style>
  <w:style w:type="character" w:styleId="WW8Num20z1">
    <w:name w:val="WW8Num20z1"/>
    <w:qFormat/>
    <w:rPr>
      <w:rFonts w:ascii="Courier New" w:hAnsi="Courier New" w:cs="Courier New"/>
    </w:rPr>
  </w:style>
  <w:style w:type="character" w:styleId="WW8Num20z3">
    <w:name w:val="WW8Num20z3"/>
    <w:qFormat/>
    <w:rPr>
      <w:rFonts w:ascii="Symbol" w:hAnsi="Symbol" w:cs="Symbol"/>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Wingdings" w:hAnsi="Wingdings" w:cs="Wingdings"/>
    </w:rPr>
  </w:style>
  <w:style w:type="character" w:styleId="WW8Num22z1">
    <w:name w:val="WW8Num22z1"/>
    <w:qFormat/>
    <w:rPr>
      <w:rFonts w:ascii="Courier New" w:hAnsi="Courier New" w:cs="Courier New"/>
    </w:rPr>
  </w:style>
  <w:style w:type="character" w:styleId="WW8Num22z3">
    <w:name w:val="WW8Num22z3"/>
    <w:qFormat/>
    <w:rPr>
      <w:rFonts w:ascii="Symbol" w:hAnsi="Symbol" w:cs="Symbol"/>
    </w:rPr>
  </w:style>
  <w:style w:type="character" w:styleId="WW8Num23z0">
    <w:name w:val="WW8Num23z0"/>
    <w:qFormat/>
    <w:rPr>
      <w:rFonts w:ascii="Wingdings" w:hAnsi="Wingdings" w:cs="Wingdings"/>
    </w:rPr>
  </w:style>
  <w:style w:type="character" w:styleId="WW8Num23z1">
    <w:name w:val="WW8Num23z1"/>
    <w:qFormat/>
    <w:rPr>
      <w:rFonts w:ascii="Courier New" w:hAnsi="Courier New" w:cs="Courier New"/>
    </w:rPr>
  </w:style>
  <w:style w:type="character" w:styleId="WW8Num23z3">
    <w:name w:val="WW8Num23z3"/>
    <w:qFormat/>
    <w:rPr>
      <w:rFonts w:ascii="Symbol" w:hAnsi="Symbol" w:cs="Symbol"/>
    </w:rPr>
  </w:style>
  <w:style w:type="character" w:styleId="WW8Num24z0">
    <w:name w:val="WW8Num24z0"/>
    <w:qFormat/>
    <w:rPr>
      <w:rFonts w:ascii="Wingdings" w:hAnsi="Wingdings" w:cs="Wingdings"/>
    </w:rPr>
  </w:style>
  <w:style w:type="character" w:styleId="WW8Num24z1">
    <w:name w:val="WW8Num24z1"/>
    <w:qFormat/>
    <w:rPr>
      <w:rFonts w:ascii="Courier New" w:hAnsi="Courier New" w:cs="Courier New"/>
    </w:rPr>
  </w:style>
  <w:style w:type="character" w:styleId="WW8Num24z3">
    <w:name w:val="WW8Num24z3"/>
    <w:qFormat/>
    <w:rPr>
      <w:rFonts w:ascii="Symbol" w:hAnsi="Symbol" w:cs="Symbol"/>
    </w:rPr>
  </w:style>
  <w:style w:type="character" w:styleId="WW8Num25z0">
    <w:name w:val="WW8Num25z0"/>
    <w:qFormat/>
    <w:rPr>
      <w:rFonts w:ascii="Wingdings" w:hAnsi="Wingdings" w:cs="Wingdings"/>
    </w:rPr>
  </w:style>
  <w:style w:type="character" w:styleId="WW8Num25z1">
    <w:name w:val="WW8Num25z1"/>
    <w:qFormat/>
    <w:rPr>
      <w:rFonts w:ascii="Courier New" w:hAnsi="Courier New" w:cs="Courier New"/>
    </w:rPr>
  </w:style>
  <w:style w:type="character" w:styleId="WW8Num25z3">
    <w:name w:val="WW8Num25z3"/>
    <w:qFormat/>
    <w:rPr>
      <w:rFonts w:ascii="Symbol" w:hAnsi="Symbol" w:cs="Symbol"/>
    </w:rPr>
  </w:style>
  <w:style w:type="character" w:styleId="WW8Num26z0">
    <w:name w:val="WW8Num26z0"/>
    <w:qFormat/>
    <w:rPr>
      <w:rFonts w:ascii="Wingdings" w:hAnsi="Wingdings" w:cs="Wingdings"/>
    </w:rPr>
  </w:style>
  <w:style w:type="character" w:styleId="WW8Num26z1">
    <w:name w:val="WW8Num26z1"/>
    <w:qFormat/>
    <w:rPr>
      <w:rFonts w:ascii="Courier New" w:hAnsi="Courier New" w:cs="Courier New"/>
    </w:rPr>
  </w:style>
  <w:style w:type="character" w:styleId="WW8Num26z3">
    <w:name w:val="WW8Num26z3"/>
    <w:qFormat/>
    <w:rPr>
      <w:rFonts w:ascii="Symbol" w:hAnsi="Symbol" w:cs="Symbol"/>
    </w:rPr>
  </w:style>
  <w:style w:type="character" w:styleId="WW8Num27z0">
    <w:name w:val="WW8Num27z0"/>
    <w:qFormat/>
    <w:rPr>
      <w:rFonts w:ascii="Wingdings" w:hAnsi="Wingdings" w:cs="Wingdings"/>
    </w:rPr>
  </w:style>
  <w:style w:type="character" w:styleId="WW8Num27z1">
    <w:name w:val="WW8Num27z1"/>
    <w:qFormat/>
    <w:rPr>
      <w:rFonts w:ascii="Courier New" w:hAnsi="Courier New" w:cs="Courier New"/>
    </w:rPr>
  </w:style>
  <w:style w:type="character" w:styleId="WW8Num27z3">
    <w:name w:val="WW8Num27z3"/>
    <w:qFormat/>
    <w:rPr>
      <w:rFonts w:ascii="Symbol" w:hAnsi="Symbol" w:cs="Symbol"/>
    </w:rPr>
  </w:style>
  <w:style w:type="character" w:styleId="WW8Num28z0">
    <w:name w:val="WW8Num28z0"/>
    <w:qFormat/>
    <w:rPr/>
  </w:style>
  <w:style w:type="character" w:styleId="WW8Num29z0">
    <w:name w:val="WW8Num29z0"/>
    <w:qFormat/>
    <w:rPr>
      <w:rFonts w:ascii="Wingdings" w:hAnsi="Wingdings" w:cs="Wingdings"/>
    </w:rPr>
  </w:style>
  <w:style w:type="character" w:styleId="WW8Num29z1">
    <w:name w:val="WW8Num29z1"/>
    <w:qFormat/>
    <w:rPr>
      <w:rFonts w:ascii="Courier New" w:hAnsi="Courier New" w:cs="Courier New"/>
    </w:rPr>
  </w:style>
  <w:style w:type="character" w:styleId="WW8Num29z3">
    <w:name w:val="WW8Num29z3"/>
    <w:qFormat/>
    <w:rPr>
      <w:rFonts w:ascii="Symbol" w:hAnsi="Symbol" w:cs="Symbol"/>
    </w:rPr>
  </w:style>
  <w:style w:type="character" w:styleId="WW8Num30z0">
    <w:name w:val="WW8Num30z0"/>
    <w:qFormat/>
    <w:rPr>
      <w:rFonts w:ascii="Wingdings" w:hAnsi="Wingdings" w:cs="Wingdings"/>
    </w:rPr>
  </w:style>
  <w:style w:type="character" w:styleId="WW8Num30z1">
    <w:name w:val="WW8Num30z1"/>
    <w:qFormat/>
    <w:rPr>
      <w:rFonts w:ascii="Courier New" w:hAnsi="Courier New" w:cs="Courier New"/>
    </w:rPr>
  </w:style>
  <w:style w:type="character" w:styleId="WW8Num30z3">
    <w:name w:val="WW8Num30z3"/>
    <w:qFormat/>
    <w:rPr>
      <w:rFonts w:ascii="Symbol" w:hAnsi="Symbol" w:cs="Symbol"/>
    </w:rPr>
  </w:style>
  <w:style w:type="character" w:styleId="WW8Num31z0">
    <w:name w:val="WW8Num31z0"/>
    <w:qFormat/>
    <w:rPr>
      <w:rFonts w:ascii="Wingdings" w:hAnsi="Wingdings" w:cs="Wingdings"/>
    </w:rPr>
  </w:style>
  <w:style w:type="character" w:styleId="WW8Num31z1">
    <w:name w:val="WW8Num31z1"/>
    <w:qFormat/>
    <w:rPr>
      <w:rFonts w:ascii="Courier New" w:hAnsi="Courier New" w:cs="Courier New"/>
    </w:rPr>
  </w:style>
  <w:style w:type="character" w:styleId="WW8Num31z3">
    <w:name w:val="WW8Num31z3"/>
    <w:qFormat/>
    <w:rPr>
      <w:rFonts w:ascii="Symbol" w:hAnsi="Symbol" w:cs="Symbol"/>
    </w:rPr>
  </w:style>
  <w:style w:type="character" w:styleId="WW8NumSt21z0">
    <w:name w:val="WW8NumSt21z0"/>
    <w:qFormat/>
    <w:rPr>
      <w:rFonts w:ascii="Symbol" w:hAnsi="Symbol" w:cs="Symbol"/>
    </w:rPr>
  </w:style>
  <w:style w:type="character" w:styleId="WW8NumSt22z0">
    <w:name w:val="WW8NumSt2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bCs/>
    </w:rPr>
  </w:style>
  <w:style w:type="paragraph" w:styleId="BodyTextIndent">
    <w:name w:val="Body Text Indent"/>
    <w:basedOn w:val="Normal"/>
    <w:pPr>
      <w:ind w:hanging="0" w:start="360" w:end="0"/>
    </w:pPr>
    <w:rPr/>
  </w:style>
  <w:style w:type="paragraph" w:styleId="BodyTextIndent2">
    <w:name w:val="Body Text Indent 2"/>
    <w:basedOn w:val="Normal"/>
    <w:qFormat/>
    <w:pPr>
      <w:tabs>
        <w:tab w:val="clear" w:pos="720"/>
        <w:tab w:val="left" w:pos="1080" w:leader="none"/>
      </w:tabs>
      <w:ind w:hanging="0" w:start="1260" w:end="0"/>
    </w:pPr>
    <w:rPr/>
  </w:style>
  <w:style w:type="paragraph" w:styleId="BodyTextIndent3">
    <w:name w:val="Body Text Indent 3"/>
    <w:basedOn w:val="Normal"/>
    <w:qFormat/>
    <w:pPr>
      <w:ind w:hanging="0" w:start="720" w:end="0"/>
    </w:pPr>
    <w:rPr/>
  </w:style>
  <w:style w:type="paragraph" w:styleId="BodyText2">
    <w:name w:val="Body Text 2"/>
    <w:basedOn w:val="Normal"/>
    <w:qFormat/>
    <w:pPr>
      <w:autoSpaceDE w:val="false"/>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2001-07-27T16:15:00Z</dcterms:created>
  <dc:creator>nryan</dc:creator>
  <dc:description/>
  <dc:language>en-CA</dc:language>
  <cp:lastModifiedBy>Simone Lewis</cp:lastModifiedBy>
  <cp:lastPrinted>2001-07-27T11:47:00Z</cp:lastPrinted>
  <dcterms:modified xsi:type="dcterms:W3CDTF">2001-07-27T18:24:00Z</dcterms:modified>
  <cp:revision>3</cp:revision>
  <dc:subject/>
  <dc:title>Executive Summary</dc:title>
</cp:coreProperties>
</file>