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2"/>
        </w:rPr>
      </w:pPr>
      <w:r>
        <w:rPr>
          <w:sz w:val="22"/>
        </w:rPr>
        <w:t>Transaction flow: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A). Customer of Sponsor’s platform submits price to Enron. The customer has already been pre-cleared by Enron’s credit matrix for this specific transaction. This submission will travel to Enron’s database using the previously specified interfaces. The submission must contain at a minimum the following pieces of information, not necessarily in this order: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-Counterpart legal name</w:t>
      </w:r>
    </w:p>
    <w:p>
      <w:pPr>
        <w:pStyle w:val="Normal"/>
        <w:rPr>
          <w:sz w:val="22"/>
        </w:rPr>
      </w:pPr>
      <w:r>
        <w:rPr>
          <w:sz w:val="22"/>
        </w:rPr>
        <w:t>-product description (that string which Enron has sent to sponsors platform for the particular product)</w:t>
      </w:r>
    </w:p>
    <w:p>
      <w:pPr>
        <w:pStyle w:val="Normal"/>
        <w:rPr>
          <w:sz w:val="22"/>
        </w:rPr>
      </w:pPr>
      <w:r>
        <w:rPr>
          <w:sz w:val="22"/>
        </w:rPr>
        <w:t>-volume</w:t>
      </w:r>
    </w:p>
    <w:p>
      <w:pPr>
        <w:pStyle w:val="Normal"/>
        <w:rPr>
          <w:sz w:val="22"/>
        </w:rPr>
      </w:pPr>
      <w:r>
        <w:rPr>
          <w:sz w:val="22"/>
        </w:rPr>
        <w:t>-price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b).Upon receipt of this submission, the transaction may be completed if the volume and price are available or fail if the volume and price are not. In the case of a database validation, the transaction is a contract when the validation occurs; there is no need for a confirmation to be received by the sponsor platform or be sent by Enron for the transaction to considered completed and binding by Enron.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c). If the transaction is completed a confirmation will be sent by Enron to the sponsor platform. If a transaction is not completed a failure message will be sent to the Sponsor platform.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2000-06-15T16:29:00Z</dcterms:created>
  <dc:creator>azipper</dc:creator>
  <dc:description/>
  <dc:language>en-CA</dc:language>
  <cp:lastModifiedBy>azipper</cp:lastModifiedBy>
  <dcterms:modified xsi:type="dcterms:W3CDTF">2000-06-15T18:15:00Z</dcterms:modified>
  <cp:revision>1</cp:revision>
  <dc:subject/>
  <dc:title>Transaction flow:</dc:title>
</cp:coreProperties>
</file>