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60"/>
        <w:jc w:val="start"/>
        <w:rPr>
          <w:b/>
          <w:sz w:val="20"/>
        </w:rPr>
      </w:pPr>
      <w:r>
        <w:rPr>
          <w:b/>
          <w:sz w:val="20"/>
        </w:rPr>
        <w:t>DRAFT</w:t>
      </w:r>
    </w:p>
    <w:p>
      <w:pPr>
        <w:pStyle w:val="Normal"/>
        <w:jc w:val="center"/>
        <w:rPr>
          <w:b/>
          <w:sz w:val="20"/>
        </w:rPr>
      </w:pPr>
      <w:r>
        <w:rPr>
          <w:b/>
          <w:sz w:val="20"/>
        </w:rPr>
        <w:t>ENRON</w:t>
      </w:r>
    </w:p>
    <w:p>
      <w:pPr>
        <w:pStyle w:val="Normal"/>
        <w:jc w:val="center"/>
        <w:rPr>
          <w:b/>
          <w:sz w:val="20"/>
        </w:rPr>
      </w:pPr>
      <w:r>
        <w:rPr>
          <w:b/>
          <w:sz w:val="20"/>
        </w:rPr>
        <w:t>Executive Summary of Legal Advice</w:t>
      </w:r>
    </w:p>
    <w:p>
      <w:pPr>
        <w:pStyle w:val="Normal"/>
        <w:jc w:val="center"/>
        <w:rPr>
          <w:b/>
          <w:sz w:val="20"/>
        </w:rPr>
      </w:pPr>
      <w:r>
        <w:rPr>
          <w:b/>
          <w:sz w:val="20"/>
        </w:rPr>
      </w:r>
    </w:p>
    <w:p>
      <w:pPr>
        <w:pStyle w:val="Normal"/>
        <w:rPr>
          <w:sz w:val="20"/>
        </w:rPr>
      </w:pPr>
      <w:r>
        <w:rPr>
          <w:sz w:val="20"/>
        </w:rPr>
        <w:tab/>
        <w:t>This note provides a brief summary of some of the more important issues raised by the legal advice received by Enron. These issues, together with a fuller summary, are set out in the attached summary of Foreign Legal Advice and summary of UK Legal Advice to which reference should be made for clarification and analysis of issues not set out in this note.</w:t>
      </w:r>
    </w:p>
    <w:p>
      <w:pPr>
        <w:pStyle w:val="Normal"/>
        <w:rPr>
          <w:sz w:val="20"/>
        </w:rPr>
      </w:pPr>
      <w:r>
        <w:rPr>
          <w:sz w:val="20"/>
        </w:rPr>
      </w:r>
    </w:p>
    <w:p>
      <w:pPr>
        <w:pStyle w:val="Normal"/>
        <w:rPr>
          <w:sz w:val="20"/>
        </w:rPr>
      </w:pPr>
      <w:r>
        <w:rPr>
          <w:sz w:val="20"/>
        </w:rPr>
        <w:tab/>
        <w:t>In most jurisdictions there are advertising and marketing restrictions applicable to the credit product, and prohibitions on manipulative conduct. These are not separately considered.</w:t>
      </w:r>
    </w:p>
    <w:p>
      <w:pPr>
        <w:pStyle w:val="Normal"/>
        <w:rPr>
          <w:sz w:val="20"/>
        </w:rPr>
      </w:pPr>
      <w:r>
        <w:rPr>
          <w:sz w:val="20"/>
        </w:rPr>
      </w:r>
    </w:p>
    <w:p>
      <w:pPr>
        <w:pStyle w:val="Normal"/>
        <w:rPr/>
      </w:pPr>
      <w:r>
        <w:rPr>
          <w:sz w:val="20"/>
        </w:rPr>
        <w:tab/>
      </w:r>
      <w:r>
        <w:rPr>
          <w:b/>
          <w:sz w:val="20"/>
        </w:rPr>
        <w:t>Finland</w:t>
      </w:r>
      <w:r>
        <w:rPr>
          <w:sz w:val="20"/>
        </w:rPr>
        <w:t>. The credit product may only be offered to professional investors. The capacity and authority of counterparties must be checked before entering into transactions, and, depending on the circumstances, banks, insurance companies, municipalities and pension funds may not be able to enter into transactions in the credit product. Enron could incur criminal liability for wilfully misusing confidential information about reference entities for economic gain.</w:t>
      </w:r>
    </w:p>
    <w:p>
      <w:pPr>
        <w:pStyle w:val="Normal"/>
        <w:rPr>
          <w:sz w:val="20"/>
        </w:rPr>
      </w:pPr>
      <w:r>
        <w:rPr>
          <w:sz w:val="20"/>
        </w:rPr>
      </w:r>
    </w:p>
    <w:p>
      <w:pPr>
        <w:pStyle w:val="Normal"/>
        <w:rPr/>
      </w:pPr>
      <w:r>
        <w:rPr>
          <w:sz w:val="20"/>
        </w:rPr>
        <w:tab/>
      </w:r>
      <w:r>
        <w:rPr>
          <w:b/>
          <w:sz w:val="20"/>
        </w:rPr>
        <w:t>Germany</w:t>
      </w:r>
      <w:r>
        <w:rPr>
          <w:sz w:val="20"/>
        </w:rPr>
        <w:t>. Corporate authority must be checked in respect of each counterparty. Enron should not purchase credit protection from investment companies, insurance companies and mortgage banks. Enron should not enter into transactions in the credit product with public sector entities without having checked the capacity of such counterparties. The credit product may be regarded as insurance under the German Insurance Contracts Act and German supervisory law. Offering insurance in Germany without being authorised is a criminal offence so Enron should approach the relevant regulator before offering the credit product in Germany. The credit product may also be viewed as a guarantee (although no authorisation is required), and may also be a gaming contract unless at least one party enters into the contract for a justified economic purpose. Enron could incur criminal liability for the misuse of business secrets relating to reference entities in pricing the product, and for insider dealing if the price of the credit product constitutes the passing on of inside information.</w:t>
      </w:r>
    </w:p>
    <w:p>
      <w:pPr>
        <w:pStyle w:val="Normal"/>
        <w:rPr>
          <w:sz w:val="20"/>
        </w:rPr>
      </w:pPr>
      <w:r>
        <w:rPr>
          <w:sz w:val="20"/>
        </w:rPr>
      </w:r>
    </w:p>
    <w:p>
      <w:pPr>
        <w:pStyle w:val="Normal"/>
        <w:rPr/>
      </w:pPr>
      <w:r>
        <w:rPr>
          <w:sz w:val="20"/>
        </w:rPr>
        <w:tab/>
      </w:r>
      <w:r>
        <w:rPr>
          <w:b/>
          <w:sz w:val="20"/>
        </w:rPr>
        <w:t>Norway</w:t>
      </w:r>
      <w:r>
        <w:rPr>
          <w:sz w:val="20"/>
        </w:rPr>
        <w:t>. Capacity and authority must be checked for each counterparty. Insurance, finance and investment companies and commercial banks may not be able to enter into transactions in the credit product, and municipalities may not sell credit protection. The credit product could be a gaming transaction if Enron’s counterparty is speculating, and Norwegian courts will expect a substantial professional effort on the part of Enron to ascertain the intention of its counterparties. If Enron actively obtains confidential information it could incur criminal liability, and civil liability to reference entities for any loss suffered. Enron is also exposed to civil liability to reference entities for negligently pricing the credit product if a reference entity suffers loss as a result.</w:t>
      </w:r>
    </w:p>
    <w:p>
      <w:pPr>
        <w:pStyle w:val="Normal"/>
        <w:rPr>
          <w:sz w:val="20"/>
        </w:rPr>
      </w:pPr>
      <w:r>
        <w:rPr>
          <w:sz w:val="20"/>
        </w:rPr>
      </w:r>
    </w:p>
    <w:p>
      <w:pPr>
        <w:pStyle w:val="Normal"/>
        <w:rPr/>
      </w:pPr>
      <w:r>
        <w:rPr>
          <w:sz w:val="20"/>
        </w:rPr>
        <w:tab/>
      </w:r>
      <w:r>
        <w:rPr>
          <w:b/>
          <w:sz w:val="20"/>
        </w:rPr>
        <w:t>Sweden</w:t>
      </w:r>
      <w:r>
        <w:rPr>
          <w:sz w:val="20"/>
        </w:rPr>
        <w:t xml:space="preserve">. Capacity and authority must be investigated on a case by case basis. Municipalities, insurance companies and some pension funds may not enter into speculative transactions, and securities funds may not deal in the credit product. </w:t>
      </w:r>
    </w:p>
    <w:p>
      <w:pPr>
        <w:pStyle w:val="Normal"/>
        <w:rPr>
          <w:sz w:val="20"/>
        </w:rPr>
      </w:pPr>
      <w:r>
        <w:rPr>
          <w:sz w:val="20"/>
        </w:rPr>
      </w:r>
    </w:p>
    <w:p>
      <w:pPr>
        <w:pStyle w:val="Normal"/>
        <w:rPr/>
      </w:pPr>
      <w:r>
        <w:rPr>
          <w:sz w:val="20"/>
        </w:rPr>
        <w:tab/>
      </w:r>
      <w:r>
        <w:rPr>
          <w:b/>
          <w:sz w:val="20"/>
        </w:rPr>
        <w:t>Switzerland</w:t>
      </w:r>
      <w:r>
        <w:rPr>
          <w:sz w:val="20"/>
        </w:rPr>
        <w:t>. Enron should check the capacity and authority of all counterparties before entering into transactions in the credit product. In the case of independent public sector entities particular care is required and Enron should obtain a formal statement from the supervisory authority confirming capacity. The credit product may constitute insurance if the counterparty’s payment to Enron represents a premium and the credit product is the main purpose of the relationship between the parties. Swiss counsel recommend that the Swiss supervisory authority be contacted if trading in the credit product will be the main purpose of the business relationship with a counterparty. Gaming could also be an issue if Enron’s counterparty is speculating. Negligent disclosure of confidential information relating to reference entities could lead to liability, as could the negligent pricing of the credit product if it lead to loss by reference entities. Enron could also incur criminal liability if it is a mandatee of a reference entity (i.e. agrees to act in that entity’s interests).</w:t>
      </w:r>
    </w:p>
    <w:p>
      <w:pPr>
        <w:pStyle w:val="Normal"/>
        <w:rPr>
          <w:sz w:val="20"/>
        </w:rPr>
      </w:pPr>
      <w:r>
        <w:rPr>
          <w:sz w:val="20"/>
        </w:rPr>
      </w:r>
    </w:p>
    <w:p>
      <w:pPr>
        <w:pStyle w:val="Normal"/>
        <w:rPr/>
      </w:pPr>
      <w:r>
        <w:rPr>
          <w:sz w:val="20"/>
        </w:rPr>
        <w:tab/>
      </w:r>
      <w:r>
        <w:rPr>
          <w:b/>
          <w:sz w:val="20"/>
        </w:rPr>
        <w:t>United States</w:t>
      </w:r>
      <w:r>
        <w:rPr>
          <w:sz w:val="20"/>
        </w:rPr>
        <w:t xml:space="preserve">. Enron should review the capacity and authority of counterparties before entering into transactions in the credit product. The credit product may constitute a “security” for the purposes of US securities laws. Public offerings of the credit product will therefore be prohibited unless registered with the SEC, although if the offer complies with the SEC requirements for private placings offers may be made to “accredited investors” provided there is no general advertisement of the credit product. The credit product is also a “futures contract” for the purposes of the US Commodities Exchange Act. It is therefore illegal to offer or sell the credit product in the US unless a relevant exemption applies. US counsel advise that Enron may rely on CFTC exemptions for swaps and options (although the characteristics of the credit product may need to be adjusted to meet the requirements of either exemption). The credit product could potentially be a gaming contract if entered into for speculative reasons. Enron could incur civil liability for the misuse of confidential information obtained from reference entities. The mispricing of the credit product could also lead to liability to reference entities suffering financial loss, and Enron could incur criminal liability for insider dealing if price sensitive information is used in pricing the credit product and counterparties deal in the securities of a reference entity based on the price of the credit product. If the credit product is a security Enron will be precluded from dealing in the credit product if Enron is in possession of material non-public information about a reference entity. Withholding tax may be payable if Enron makes payments to insurance companies or foreign persons to purchase the credit product. Payments to foreign counterparties on a bankruptcy event would be likely to be subject to US federal withholding tax if Enron does not file IRS Form W-8BEN in respect of that counterparty. </w:t>
      </w:r>
    </w:p>
    <w:p>
      <w:pPr>
        <w:pStyle w:val="Normal"/>
        <w:rPr>
          <w:sz w:val="20"/>
        </w:rPr>
      </w:pPr>
      <w:r>
        <w:rPr>
          <w:sz w:val="20"/>
        </w:rPr>
      </w:r>
    </w:p>
    <w:p>
      <w:pPr>
        <w:pStyle w:val="Normal"/>
        <w:rPr/>
      </w:pPr>
      <w:r>
        <w:rPr>
          <w:b/>
          <w:sz w:val="20"/>
        </w:rPr>
        <w:tab/>
        <w:t>Canada</w:t>
      </w:r>
      <w:r>
        <w:rPr>
          <w:sz w:val="20"/>
        </w:rPr>
        <w:t>. Capacity and authority will need to be assessed on a case by case basis. If Enron undertakes activities in Alberta or Ontario it will need to register as a extra-provincial corporation. Failure to register is an offence and leads to the unenforceability of contracts entered into. There is a significant risk that the credit product constitutes insurance. A foreign company may only carry on insurance business in Canada if authorised by the federal authorities, although it is doubtful whether Enron would be able to obtain authorisation unless it incorporated a subsidiary in Canada. It is an offence to carry on insurance business without authorisation and Enron is advised to obtain clarification from the federal and provincial regulators before entering into transactions with Canadian counterparties. Enron could incur liability for breach of confidence for the misuse of confidential information obtained from reference entities. Enron could also incur tortious liability to reference entities for intentional conduct that adversely affects reference entities. Enron may be subject to 15% withholding tax if payments made by Canadian counterparties to it are a “fee, commission or other amount in respect of services rendered in Canada”. Enron will need to file a tax return in Canada if it carries on business there. Enron may also be subject to goods and services tax, or sales tax, on supplies of the credit product in the course of a business carried on in Canada.</w:t>
      </w:r>
    </w:p>
    <w:p>
      <w:pPr>
        <w:pStyle w:val="Normal"/>
        <w:rPr>
          <w:sz w:val="20"/>
        </w:rPr>
      </w:pPr>
      <w:r>
        <w:rPr>
          <w:sz w:val="20"/>
        </w:rPr>
      </w:r>
    </w:p>
    <w:p>
      <w:pPr>
        <w:pStyle w:val="Normal"/>
        <w:rPr/>
      </w:pPr>
      <w:r>
        <w:rPr>
          <w:b/>
          <w:sz w:val="20"/>
        </w:rPr>
        <w:tab/>
        <w:t>England</w:t>
      </w:r>
      <w:r>
        <w:rPr>
          <w:sz w:val="20"/>
        </w:rPr>
        <w:t>. (Taxation has been considered internally by Enron). If the credit product were structured as a swap or an option then transactions may need to be brokered by EEFT to comply with the Financial Services Act 1986. The credit product could constitute a gaming contract if neither party has a business or commercial purpose in entering into the transaction. Capacity and authority should be investigated on a case by case basis, and certain bodies (insurance companies, building societies, credit unions, friendly societies and pension funds) may be restricted under supervisory law from entering into transactions in the credit product. Particular care will be required in entering into transactions with local authorities, and other statutory bodies, as these are generally precluded from entering into transactions in derivatives. Enron could incur liability for insider dealing through making use of unpublished price sensitive information in pricing the credit product if this fact is known or believed to be the case by Enron’s counterparties. Enron could also incur civil liability for the misuse of confidential information about reference entities if such information is used in pricing the credit product. Enron may incur liability to reference entities if it has assumed a responsibility to take account of the interests of reference entities in pricing the product, or if Enron’s price for the credit product is seen by the market as a credit rating and Enron negligently misprices the credit product.</w:t>
      </w:r>
    </w:p>
    <w:p>
      <w:pPr>
        <w:pStyle w:val="Normal"/>
        <w:jc w:val="end"/>
        <w:rPr>
          <w:sz w:val="20"/>
        </w:rPr>
      </w:pPr>
      <w:r>
        <w:rPr>
          <w:sz w:val="20"/>
        </w:rPr>
      </w:r>
    </w:p>
    <w:p>
      <w:pPr>
        <w:pStyle w:val="Normal"/>
        <w:jc w:val="end"/>
        <w:rPr>
          <w:sz w:val="20"/>
        </w:rPr>
      </w:pPr>
      <w:r>
        <w:rPr>
          <w:sz w:val="20"/>
        </w:rPr>
        <w:t>CC003670834</w:t>
      </w:r>
    </w:p>
    <w:p>
      <w:pPr>
        <w:pStyle w:val="Normal"/>
        <w:jc w:val="end"/>
        <w:rPr>
          <w:sz w:val="20"/>
        </w:rPr>
      </w:pPr>
      <w:r>
        <w:rPr>
          <w:sz w:val="20"/>
        </w:rPr>
        <w:t>SDXW/TNXP</w:t>
      </w:r>
    </w:p>
    <w:p>
      <w:pPr>
        <w:pStyle w:val="Normal"/>
        <w:jc w:val="end"/>
        <w:rPr>
          <w:sz w:val="20"/>
        </w:rPr>
      </w:pPr>
      <w:r>
        <w:rPr>
          <w:sz w:val="20"/>
        </w:rPr>
        <w:t>9.1.00</w:t>
      </w:r>
    </w:p>
    <w:p>
      <w:pPr>
        <w:pStyle w:val="Normal"/>
        <w:jc w:val="end"/>
        <w:rPr>
          <w:sz w:val="20"/>
        </w:rPr>
      </w:pPr>
      <w:r>
        <w:rPr>
          <w:sz w:val="20"/>
        </w:rPr>
      </w:r>
    </w:p>
    <w:sectPr>
      <w:type w:val="nextPage"/>
      <w:pgSz w:w="11906" w:h="16838"/>
      <w:pgMar w:left="1134" w:right="1134" w:gutter="0" w:header="0" w:top="1701" w:footer="0"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kern w:val="2"/>
      <w:sz w:val="28"/>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keepNext w:val="true"/>
      <w:numPr>
        <w:ilvl w:val="2"/>
        <w:numId w:val="1"/>
      </w:numPr>
      <w:spacing w:before="0" w:after="120"/>
      <w:outlineLvl w:val="2"/>
    </w:pPr>
    <w:rPr>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2000-01-14T09:52:00Z</dcterms:created>
  <dc:creator>Anna &amp; Barry Petch</dc:creator>
  <dc:description/>
  <dc:language>en-CA</dc:language>
  <cp:lastModifiedBy>Administrator</cp:lastModifiedBy>
  <cp:lastPrinted>2000-01-10T11:00:00Z</cp:lastPrinted>
  <dcterms:modified xsi:type="dcterms:W3CDTF">2000-01-14T09:52:00Z</dcterms:modified>
  <cp:revision>2</cp:revision>
  <dc:subject/>
  <dc:title>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TNXP</vt:lpwstr>
  </property>
  <property fmtid="{D5CDD505-2E9C-101B-9397-08002B2CF9AE}" pid="3" name="udp_BorderStyle">
    <vt:lpwstr>None</vt:lpwstr>
  </property>
  <property fmtid="{D5CDD505-2E9C-101B-9397-08002B2CF9AE}" pid="4" name="udp_CMNumber">
    <vt:lpwstr>000000/00000</vt:lpwstr>
  </property>
  <property fmtid="{D5CDD505-2E9C-101B-9397-08002B2CF9AE}" pid="5" name="udp_Client">
    <vt:lpwstr> </vt:lpwstr>
  </property>
  <property fmtid="{D5CDD505-2E9C-101B-9397-08002B2CF9AE}" pid="6" name="udp_DocID">
    <vt:lpwstr>CC003670834</vt:lpwstr>
  </property>
  <property fmtid="{D5CDD505-2E9C-101B-9397-08002B2CF9AE}" pid="7" name="udp_Justified">
    <vt:bool>0</vt:bool>
  </property>
  <property fmtid="{D5CDD505-2E9C-101B-9397-08002B2CF9AE}" pid="8" name="udp_Layout">
    <vt:lpwstr>None</vt:lpwstr>
  </property>
  <property fmtid="{D5CDD505-2E9C-101B-9397-08002B2CF9AE}" pid="9" name="udp_Matter">
    <vt:lpwstr> </vt:lpwstr>
  </property>
  <property fmtid="{D5CDD505-2E9C-101B-9397-08002B2CF9AE}" pid="10" name="udp_Typist">
    <vt:lpwstr> </vt:lpwstr>
  </property>
  <property fmtid="{D5CDD505-2E9C-101B-9397-08002B2CF9AE}" pid="11" name="udp_Version">
    <vt:lpwstr>2</vt:lpwstr>
  </property>
</Properties>
</file>