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</w:r>
    </w:p>
    <w:p>
      <w:pPr>
        <w:pStyle w:val="Normal"/>
        <w:ind w:firstLine="720" w:end="0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  <w:t>(13)</w:t>
        <w:tab/>
        <w:t>EXCLUDED COMMODITY. - The term ‘excluded commodity’ means–</w:t>
      </w:r>
    </w:p>
    <w:p>
      <w:pPr>
        <w:pStyle w:val="Normal"/>
        <w:ind w:firstLine="720" w:start="720" w:end="0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</w:r>
    </w:p>
    <w:p>
      <w:pPr>
        <w:pStyle w:val="Normal"/>
        <w:ind w:firstLine="720" w:start="720" w:end="0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  <w:t>(A)</w:t>
        <w:tab/>
        <w:t>a financial commodity;</w:t>
      </w:r>
    </w:p>
    <w:p>
      <w:pPr>
        <w:pStyle w:val="Normal"/>
        <w:ind w:firstLine="720" w:start="720" w:end="0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</w:r>
    </w:p>
    <w:p>
      <w:pPr>
        <w:pStyle w:val="Normal"/>
        <w:spacing w:lineRule="auto" w:line="480"/>
        <w:ind w:firstLine="720" w:start="720" w:end="0"/>
        <w:jc w:val="both"/>
        <w:rPr>
          <w:rFonts w:ascii="CG Times" w:hAnsi="CG Times" w:cs="CG Times"/>
        </w:rPr>
      </w:pPr>
      <w:r>
        <w:rPr>
          <w:rFonts w:cs="CG Times" w:ascii="CG Times" w:hAnsi="CG Times"/>
        </w:rPr>
        <w:t>(B)</w:t>
        <w:tab/>
        <w:t>an agreement, contract, or transaction providing for a payment in an amount that is determined on the basis of the occurrence, nonoccurrence, or extent of the occurrence of a contingency beyond the control of the parties to the agreement, contract, or transaction;</w:t>
      </w:r>
    </w:p>
    <w:p>
      <w:pPr>
        <w:pStyle w:val="Normal"/>
        <w:tabs>
          <w:tab w:val="left" w:pos="720" w:leader="none"/>
        </w:tabs>
        <w:spacing w:lineRule="auto" w:line="480"/>
        <w:ind w:start="720" w:end="0"/>
        <w:jc w:val="both"/>
        <w:rPr>
          <w:u w:val="single"/>
        </w:rPr>
      </w:pPr>
      <w:r>
        <w:rPr>
          <w:rFonts w:cs="CG Times" w:ascii="CG Times" w:hAnsi="CG Times"/>
        </w:rPr>
        <w:tab/>
        <w:t>(C)</w:t>
        <w:tab/>
        <w:t xml:space="preserve">a commodity the supply of which is not subject to substantial limitations </w:t>
      </w:r>
      <w:r>
        <w:rPr>
          <w:rFonts w:cs="CG Times" w:ascii="CG Times" w:hAnsi="CG Times"/>
          <w:u w:val="single"/>
        </w:rPr>
        <w:t>[or is not otherwise readily susceptible to manipulation]</w:t>
      </w:r>
    </w:p>
    <w:p>
      <w:pPr>
        <w:pStyle w:val="Normal"/>
        <w:tabs>
          <w:tab w:val="left" w:pos="720" w:leader="none"/>
        </w:tabs>
        <w:spacing w:lineRule="auto" w:line="480"/>
        <w:ind w:start="720" w:end="0"/>
        <w:jc w:val="both"/>
        <w:rPr/>
      </w:pPr>
      <w:r>
        <w:rPr>
          <w:rFonts w:cs="CG Times" w:ascii="CG Times" w:hAnsi="CG Times"/>
        </w:rPr>
        <w:tab/>
        <w:t>(D)</w:t>
        <w:tab/>
      </w:r>
      <w:r>
        <w:rPr>
          <w:rFonts w:cs="CG Times" w:ascii="CG Times" w:hAnsi="CG Times"/>
          <w:u w:val="single"/>
        </w:rPr>
        <w:t xml:space="preserve">an agreement, contract, or transaction in crude oil, condensates, natural gas, natural gas liquids, electricity, coal, or their derivatives; base metals or precious metals; or indices on or related to any of the foregoing,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-1280160</wp:posOffset>
                </wp:positionH>
                <wp:positionV relativeFrom="paragraph">
                  <wp:posOffset>-301625</wp:posOffset>
                </wp:positionV>
                <wp:extent cx="91440" cy="91440"/>
                <wp:effectExtent l="5080" t="508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-100.8pt;margin-top:-23.75pt;width:7.15pt;height:7.15pt;mso-wrap-style:none;v-text-anchor:middle">
                <v:fill o:detectmouseclick="t" type="solid" color2="black"/>
                <v:stroke color="white" weight="9360" joinstyle="miter" endcap="flat"/>
                <w10:wrap type="none"/>
              </v:rect>
            </w:pict>
          </mc:Fallback>
        </mc:AlternateContent>
      </w:r>
      <w:r>
        <w:rPr>
          <w:rFonts w:cs="CG Times" w:ascii="CG Times" w:hAnsi="CG Times"/>
          <w:u w:val="single"/>
        </w:rPr>
        <w:t>provided no party to the agreement, contract or transaction is entitled to require any other party to deliver a tangible good or article.</w:t>
      </w:r>
    </w:p>
    <w:sectPr>
      <w:type w:val="nextPage"/>
      <w:pgSz w:w="12240" w:h="15840"/>
      <w:pgMar w:left="1440" w:right="1440" w:gutter="0" w:header="0" w:top="1915" w:footer="0" w:bottom="9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Courier">
    <w:altName w:val="Courier New"/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G Times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urier New" w:hAnsi="Courier New" w:eastAsia="Times New Roman" w:cs="Courier New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ourier" w:hAnsi="Courier" w:cs="Courier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spacing w:before="120" w:after="120"/>
    </w:pPr>
    <w:rPr>
      <w:rFonts w:ascii="Times New Roman" w:hAnsi="Times New Roman" w:cs="Times New Roman"/>
      <w:b/>
      <w:caps/>
      <w:sz w:val="20"/>
    </w:rPr>
  </w:style>
  <w:style w:type="paragraph" w:styleId="TOC2">
    <w:name w:val="toc 2"/>
    <w:basedOn w:val="Normal"/>
    <w:next w:val="Normal"/>
    <w:pPr>
      <w:ind w:hanging="0" w:start="240" w:end="0"/>
    </w:pPr>
    <w:rPr>
      <w:rFonts w:ascii="Times New Roman" w:hAnsi="Times New Roman" w:cs="Times New Roman"/>
      <w:smallCaps/>
      <w:sz w:val="20"/>
    </w:rPr>
  </w:style>
  <w:style w:type="paragraph" w:styleId="TOC3">
    <w:name w:val="toc 3"/>
    <w:basedOn w:val="Normal"/>
    <w:next w:val="Normal"/>
    <w:pPr>
      <w:ind w:hanging="0" w:start="480" w:end="0"/>
    </w:pPr>
    <w:rPr>
      <w:rFonts w:ascii="Times New Roman" w:hAnsi="Times New Roman" w:cs="Times New Roman"/>
      <w:i/>
      <w:sz w:val="20"/>
    </w:rPr>
  </w:style>
  <w:style w:type="paragraph" w:styleId="TOC4">
    <w:name w:val="toc 4"/>
    <w:basedOn w:val="Normal"/>
    <w:next w:val="Normal"/>
    <w:pPr>
      <w:ind w:hanging="0" w:start="720" w:end="0"/>
    </w:pPr>
    <w:rPr>
      <w:rFonts w:ascii="Times New Roman" w:hAnsi="Times New Roman" w:cs="Times New Roman"/>
      <w:sz w:val="18"/>
    </w:rPr>
  </w:style>
  <w:style w:type="paragraph" w:styleId="TOC5">
    <w:name w:val="toc 5"/>
    <w:basedOn w:val="Normal"/>
    <w:next w:val="Normal"/>
    <w:pPr>
      <w:ind w:hanging="0" w:start="960" w:end="0"/>
    </w:pPr>
    <w:rPr>
      <w:rFonts w:ascii="Times New Roman" w:hAnsi="Times New Roman" w:cs="Times New Roman"/>
      <w:sz w:val="18"/>
    </w:rPr>
  </w:style>
  <w:style w:type="paragraph" w:styleId="TOC6">
    <w:name w:val="toc 6"/>
    <w:basedOn w:val="Normal"/>
    <w:next w:val="Normal"/>
    <w:pPr>
      <w:ind w:hanging="0" w:start="1200" w:end="0"/>
    </w:pPr>
    <w:rPr>
      <w:rFonts w:ascii="Times New Roman" w:hAnsi="Times New Roman" w:cs="Times New Roman"/>
      <w:sz w:val="18"/>
    </w:rPr>
  </w:style>
  <w:style w:type="paragraph" w:styleId="TOC7">
    <w:name w:val="toc 7"/>
    <w:basedOn w:val="Normal"/>
    <w:next w:val="Normal"/>
    <w:pPr>
      <w:ind w:hanging="0" w:start="1440" w:end="0"/>
    </w:pPr>
    <w:rPr>
      <w:rFonts w:ascii="Times New Roman" w:hAnsi="Times New Roman" w:cs="Times New Roman"/>
      <w:sz w:val="18"/>
    </w:rPr>
  </w:style>
  <w:style w:type="paragraph" w:styleId="TOC8">
    <w:name w:val="toc 8"/>
    <w:basedOn w:val="Normal"/>
    <w:next w:val="Normal"/>
    <w:pPr>
      <w:ind w:hanging="0" w:start="1680" w:end="0"/>
    </w:pPr>
    <w:rPr>
      <w:rFonts w:ascii="Times New Roman" w:hAnsi="Times New Roman" w:cs="Times New Roman"/>
      <w:sz w:val="18"/>
    </w:rPr>
  </w:style>
  <w:style w:type="paragraph" w:styleId="TOC9">
    <w:name w:val="toc 9"/>
    <w:basedOn w:val="Normal"/>
    <w:next w:val="Normal"/>
    <w:pPr>
      <w:ind w:hanging="0" w:start="1920" w:end="0"/>
    </w:pPr>
    <w:rPr>
      <w:rFonts w:ascii="Times New Roman" w:hAnsi="Times New Roman" w:cs="Times New Roman"/>
      <w:sz w:val="18"/>
    </w:rPr>
  </w:style>
  <w:style w:type="paragraph" w:styleId="FootnoteText">
    <w:name w:val="footnote text"/>
    <w:basedOn w:val="Normal"/>
    <w:pPr>
      <w:spacing w:before="240" w:after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2000-05-02T12:02:00Z</dcterms:created>
  <dc:creator>For Help Call PC Support, x 4277</dc:creator>
  <dc:description/>
  <dc:language>en-CA</dc:language>
  <cp:lastModifiedBy>For Help Call PC Support, x 4277</cp:lastModifiedBy>
  <cp:lastPrinted>2000-05-02T10:29:00Z</cp:lastPrinted>
  <dcterms:modified xsi:type="dcterms:W3CDTF">2000-05-02T12:02:00Z</dcterms:modified>
  <cp:revision>2</cp:revision>
  <dc:subject/>
  <dc:title>test</dc:title>
</cp:coreProperties>
</file>