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i/>
          <w:i/>
          <w:color w:val="FF0000"/>
          <w:sz w:val="32"/>
          <w:u w:val="single"/>
        </w:rPr>
      </w:pPr>
      <w:r>
        <w:rPr>
          <w:b/>
          <w:i/>
          <w:color w:val="FF0000"/>
          <w:sz w:val="32"/>
          <w:u w:val="single"/>
        </w:rPr>
        <w:t>DRAFT</w:t>
      </w:r>
    </w:p>
    <w:p>
      <w:pPr>
        <w:pStyle w:val="Normal"/>
        <w:jc w:val="center"/>
        <w:rPr>
          <w:b/>
          <w:i/>
          <w:i/>
          <w:color w:val="FF0000"/>
          <w:sz w:val="32"/>
          <w:u w:val="single"/>
        </w:rPr>
      </w:pPr>
      <w:r>
        <w:rPr>
          <w:b/>
          <w:i/>
          <w:color w:val="FF0000"/>
          <w:sz w:val="32"/>
          <w:u w:val="single"/>
        </w:rPr>
      </w:r>
    </w:p>
    <w:p>
      <w:pPr>
        <w:pStyle w:val="Normal"/>
        <w:jc w:val="center"/>
        <w:rPr>
          <w:b/>
          <w:u w:val="single"/>
        </w:rPr>
      </w:pPr>
      <w:r>
        <w:rPr>
          <w:b/>
          <w:u w:val="single"/>
        </w:rPr>
        <w:t>CONFIDENTIAL</w:t>
      </w:r>
    </w:p>
    <w:p>
      <w:pPr>
        <w:pStyle w:val="Normal"/>
        <w:jc w:val="center"/>
        <w:rPr>
          <w:b/>
        </w:rPr>
      </w:pPr>
      <w:r>
        <w:rPr>
          <w:b/>
        </w:rPr>
        <w:t>Houston Pipe Line Company</w:t>
      </w:r>
    </w:p>
    <w:p>
      <w:pPr>
        <w:pStyle w:val="Normal"/>
        <w:jc w:val="center"/>
        <w:rPr/>
      </w:pPr>
      <w:r>
        <w:rPr/>
        <w:t>("HPL")</w:t>
      </w:r>
    </w:p>
    <w:p>
      <w:pPr>
        <w:pStyle w:val="Normal"/>
        <w:jc w:val="center"/>
        <w:rPr/>
      </w:pPr>
      <w:r>
        <w:rPr/>
      </w:r>
    </w:p>
    <w:p>
      <w:pPr>
        <w:pStyle w:val="Normal"/>
        <w:jc w:val="center"/>
        <w:rPr/>
      </w:pPr>
      <w:r>
        <w:rPr/>
        <w:t>Proposal to Exchange Natural Gas</w:t>
      </w:r>
    </w:p>
    <w:p>
      <w:pPr>
        <w:pStyle w:val="Normal"/>
        <w:jc w:val="center"/>
        <w:rPr/>
      </w:pPr>
      <w:r>
        <w:rPr/>
        <w:t>for</w:t>
      </w:r>
    </w:p>
    <w:p>
      <w:pPr>
        <w:pStyle w:val="Normal"/>
        <w:jc w:val="center"/>
        <w:rPr/>
      </w:pPr>
      <w:r>
        <w:rPr/>
      </w:r>
    </w:p>
    <w:p>
      <w:pPr>
        <w:pStyle w:val="Normal"/>
        <w:jc w:val="center"/>
        <w:rPr>
          <w:b/>
        </w:rPr>
      </w:pPr>
      <w:r>
        <w:rPr>
          <w:b/>
        </w:rPr>
        <w:t>MidCon Texas Pipeline Corporation</w:t>
      </w:r>
    </w:p>
    <w:p>
      <w:pPr>
        <w:pStyle w:val="Normal"/>
        <w:jc w:val="center"/>
        <w:rPr/>
      </w:pPr>
      <w:r>
        <w:rPr/>
        <w:t>("MidCon")</w:t>
      </w:r>
    </w:p>
    <w:p>
      <w:pPr>
        <w:pStyle w:val="Normal"/>
        <w:jc w:val="center"/>
        <w:rPr/>
      </w:pPr>
      <w:r>
        <w:rPr/>
      </w:r>
    </w:p>
    <w:p>
      <w:pPr>
        <w:pStyle w:val="Normal"/>
        <w:jc w:val="center"/>
        <w:rPr/>
      </w:pPr>
      <w:r>
        <w:rPr/>
        <w:t>July 10, 2000</w:t>
      </w:r>
    </w:p>
    <w:p>
      <w:pPr>
        <w:pStyle w:val="Normal"/>
        <w:jc w:val="center"/>
        <w:rPr/>
      </w:pPr>
      <w:r>
        <w:rPr/>
      </w:r>
    </w:p>
    <w:p>
      <w:pPr>
        <w:pStyle w:val="Normal"/>
        <w:ind w:hanging="2880" w:start="2880" w:end="0"/>
        <w:rPr/>
      </w:pPr>
      <w:r>
        <w:rPr/>
      </w:r>
    </w:p>
    <w:p>
      <w:pPr>
        <w:pStyle w:val="Normal"/>
        <w:ind w:hanging="2880" w:start="2880" w:end="0"/>
        <w:rPr/>
      </w:pPr>
      <w:r>
        <w:rPr>
          <w:b/>
          <w:u w:val="single"/>
        </w:rPr>
        <w:t>Proposal</w:t>
      </w:r>
      <w:r>
        <w:rPr>
          <w:b/>
        </w:rPr>
        <w:tab/>
      </w:r>
      <w:r>
        <w:rPr/>
        <w:t>HPL and MidCon would exchange 25,000 MMBTU/D of natural gas.  HPL would deliver a daily ratable volume of natural gas to MidCon at Live Oak County, Texas.  In exchange, MidCon would deliver natural gas to HPL at any of three delivery points listed below with HPL having the right to average during a month the monthly volume equivalent delivered to MidCon at Live Oak.</w:t>
      </w:r>
    </w:p>
    <w:p>
      <w:pPr>
        <w:pStyle w:val="Normal"/>
        <w:ind w:hanging="2880" w:start="2880" w:end="0"/>
        <w:rPr>
          <w:b/>
          <w:u w:val="single"/>
        </w:rPr>
      </w:pPr>
      <w:r>
        <w:rPr>
          <w:b/>
          <w:u w:val="single"/>
        </w:rPr>
      </w:r>
    </w:p>
    <w:p>
      <w:pPr>
        <w:pStyle w:val="Normal"/>
        <w:ind w:hanging="2880" w:start="2880" w:end="0"/>
        <w:rPr/>
      </w:pPr>
      <w:r>
        <w:rPr>
          <w:b/>
          <w:u w:val="single"/>
        </w:rPr>
        <w:t>MidCon Receipt Point</w:t>
      </w:r>
      <w:r>
        <w:rPr/>
        <w:tab/>
        <w:t>Live Oak County, Texas</w:t>
      </w:r>
    </w:p>
    <w:p>
      <w:pPr>
        <w:pStyle w:val="Normal"/>
        <w:ind w:hanging="2880" w:start="2880" w:end="0"/>
        <w:rPr/>
      </w:pPr>
      <w:r>
        <w:rPr/>
      </w:r>
    </w:p>
    <w:p>
      <w:pPr>
        <w:pStyle w:val="Normal"/>
        <w:ind w:hanging="2880" w:start="2880" w:end="0"/>
        <w:rPr/>
      </w:pPr>
      <w:r>
        <w:rPr>
          <w:b/>
          <w:u w:val="single"/>
        </w:rPr>
        <w:t>HPL Receipt Points</w:t>
      </w:r>
      <w:r>
        <w:rPr/>
        <w:tab/>
        <w:t>Hardy Street, Katy Tail Gate, Deerpark (new point)</w:t>
      </w:r>
    </w:p>
    <w:p>
      <w:pPr>
        <w:pStyle w:val="Normal"/>
        <w:ind w:hanging="2880" w:start="2880" w:end="0"/>
        <w:rPr/>
      </w:pPr>
      <w:r>
        <w:rPr/>
      </w:r>
    </w:p>
    <w:p>
      <w:pPr>
        <w:pStyle w:val="Normal"/>
        <w:ind w:hanging="2880" w:start="2880" w:end="0"/>
        <w:rPr/>
      </w:pPr>
      <w:r>
        <w:rPr>
          <w:b/>
          <w:u w:val="single"/>
        </w:rPr>
        <w:t>Term</w:t>
      </w:r>
      <w:r>
        <w:rPr/>
        <w:tab/>
        <w:t>Five years commencing January 1, 2002</w:t>
      </w:r>
    </w:p>
    <w:p>
      <w:pPr>
        <w:pStyle w:val="Normal"/>
        <w:ind w:hanging="2880" w:start="2880" w:end="0"/>
        <w:rPr/>
      </w:pPr>
      <w:r>
        <w:rPr/>
      </w:r>
    </w:p>
    <w:p>
      <w:pPr>
        <w:pStyle w:val="Normal"/>
        <w:ind w:hanging="2880" w:start="2880" w:end="0"/>
        <w:rPr/>
      </w:pPr>
      <w:r>
        <w:rPr>
          <w:b/>
          <w:u w:val="single"/>
        </w:rPr>
        <w:t>MidCon Daily Exchange</w:t>
      </w:r>
      <w:r>
        <w:rPr/>
        <w:tab/>
      </w:r>
    </w:p>
    <w:p>
      <w:pPr>
        <w:pStyle w:val="Normal"/>
        <w:ind w:hanging="2880" w:start="2880" w:end="0"/>
        <w:rPr/>
      </w:pPr>
      <w:r>
        <w:rPr>
          <w:b/>
          <w:u w:val="single"/>
        </w:rPr>
        <w:t>Quantity</w:t>
      </w:r>
      <w:r>
        <w:rPr/>
        <w:tab/>
        <w:t>25,000 MMBTU/D, to be taken ratably each day</w:t>
      </w:r>
    </w:p>
    <w:p>
      <w:pPr>
        <w:pStyle w:val="Normal"/>
        <w:ind w:hanging="2880" w:start="2880" w:end="0"/>
        <w:rPr>
          <w:b/>
          <w:u w:val="single"/>
        </w:rPr>
      </w:pPr>
      <w:r>
        <w:rPr>
          <w:b/>
          <w:u w:val="single"/>
        </w:rPr>
      </w:r>
    </w:p>
    <w:p>
      <w:pPr>
        <w:pStyle w:val="Normal"/>
        <w:ind w:hanging="2880" w:start="2880" w:end="0"/>
        <w:rPr>
          <w:b/>
          <w:u w:val="single"/>
        </w:rPr>
      </w:pPr>
      <w:r>
        <w:rPr>
          <w:b/>
          <w:u w:val="single"/>
        </w:rPr>
        <w:t>HPL Monthly Exchange</w:t>
      </w:r>
    </w:p>
    <w:p>
      <w:pPr>
        <w:pStyle w:val="Normal"/>
        <w:ind w:hanging="2880" w:start="2880" w:end="0"/>
        <w:rPr/>
      </w:pPr>
      <w:r>
        <w:rPr>
          <w:b/>
          <w:u w:val="single"/>
        </w:rPr>
        <w:t>Quantity</w:t>
      </w:r>
      <w:r>
        <w:rPr/>
        <w:tab/>
        <w:t xml:space="preserve">25,000 MMBTU/D </w:t>
      </w:r>
      <w:r>
        <w:rPr>
          <w:u w:val="single"/>
        </w:rPr>
        <w:t>times</w:t>
      </w:r>
      <w:r>
        <w:rPr/>
        <w:t xml:space="preserve"> the number of days in the month; with the right to take from 0 to 100,000 MMBTU with a maximum of four (4) intraday nomination changes.</w:t>
      </w:r>
    </w:p>
    <w:p>
      <w:pPr>
        <w:pStyle w:val="Normal"/>
        <w:rPr/>
      </w:pPr>
      <w:r>
        <w:rPr/>
      </w:r>
    </w:p>
    <w:p>
      <w:pPr>
        <w:pStyle w:val="Normal"/>
        <w:ind w:hanging="2880" w:start="2880" w:end="0"/>
        <w:rPr/>
      </w:pPr>
      <w:r>
        <w:rPr>
          <w:b/>
          <w:u w:val="single"/>
        </w:rPr>
        <w:t>Service Cost</w:t>
      </w:r>
      <w:r>
        <w:rPr/>
        <w:tab/>
        <w:t>HPL would pay MidCon monthly $0.09/MMBTU for the HPL Monthly Exchange Quantity.</w:t>
      </w:r>
    </w:p>
    <w:p>
      <w:pPr>
        <w:pStyle w:val="Normal"/>
        <w:rPr>
          <w:b/>
          <w:u w:val="single"/>
        </w:rPr>
      </w:pPr>
      <w:r>
        <w:rPr>
          <w:b/>
          <w:u w:val="single"/>
        </w:rPr>
        <w:t>HPL Failure to Deliver</w:t>
      </w:r>
    </w:p>
    <w:p>
      <w:pPr>
        <w:pStyle w:val="Normal"/>
        <w:ind w:hanging="2880" w:start="2880" w:end="0"/>
        <w:rPr/>
      </w:pPr>
      <w:r>
        <w:rPr>
          <w:b/>
          <w:u w:val="single"/>
        </w:rPr>
        <w:t>Daily Exchange Volumes</w:t>
      </w:r>
      <w:r>
        <w:rPr/>
        <w:tab/>
        <w:t>If HPL fails to deliver all or portion of the Daily Exchange Volume to MidCon due to operational reasons and not excused by Force Majeure, then on a daily basis, MidCon would procure the volume that was not delivered and would be reimbursed for this purchase by HPL, at the following prices:</w:t>
      </w:r>
    </w:p>
    <w:p>
      <w:pPr>
        <w:pStyle w:val="Normal"/>
        <w:numPr>
          <w:ilvl w:val="0"/>
          <w:numId w:val="1"/>
        </w:numPr>
        <w:tabs>
          <w:tab w:val="clear" w:pos="720"/>
          <w:tab w:val="left" w:pos="3240" w:leader="none"/>
        </w:tabs>
        <w:ind w:hanging="360" w:start="3240" w:end="0"/>
        <w:rPr/>
      </w:pPr>
      <w:r>
        <w:rPr/>
        <w:t>Gas Daily - Agua Dulce hub plus $0.15; where Gas Daily - Agua Dulce is the Midpoint of the common range of prices reported for the Agua Dulce hub by Gas Daily.</w:t>
      </w:r>
    </w:p>
    <w:p>
      <w:pPr>
        <w:pStyle w:val="Normal"/>
        <w:rPr/>
      </w:pPr>
      <w:r>
        <w:rPr/>
      </w:r>
    </w:p>
    <w:p>
      <w:pPr>
        <w:pStyle w:val="Normal"/>
        <w:rPr>
          <w:b/>
          <w:u w:val="single"/>
        </w:rPr>
      </w:pPr>
      <w:r>
        <w:rPr>
          <w:b/>
          <w:u w:val="single"/>
        </w:rPr>
        <w:t>MidCon Failure to Deliver</w:t>
      </w:r>
    </w:p>
    <w:p>
      <w:pPr>
        <w:pStyle w:val="Normal"/>
        <w:ind w:hanging="2880" w:start="2880" w:end="0"/>
        <w:rPr/>
      </w:pPr>
      <w:r>
        <w:rPr>
          <w:b/>
          <w:u w:val="single"/>
        </w:rPr>
        <w:t>Daily Exchange Volume</w:t>
      </w:r>
      <w:r>
        <w:rPr/>
        <w:tab/>
        <w:t>If MidCon fails to deliver all or portion of the Daily Exchange Volume to HPL due to operational reasons and not excused by Force Majeure, then on a daily basis, HPL would procure the volume that was not delivered and would be reimbursed for this purchase by MidCon, at the following prices:</w:t>
      </w:r>
    </w:p>
    <w:p>
      <w:pPr>
        <w:pStyle w:val="Normal"/>
        <w:numPr>
          <w:ilvl w:val="0"/>
          <w:numId w:val="1"/>
        </w:numPr>
        <w:tabs>
          <w:tab w:val="clear" w:pos="720"/>
          <w:tab w:val="left" w:pos="3240" w:leader="none"/>
        </w:tabs>
        <w:ind w:hanging="360" w:start="3240" w:end="0"/>
        <w:rPr/>
      </w:pPr>
      <w:r>
        <w:rPr/>
        <w:t>Gas Daily - Katy plus $0.15; where Gas Daily - Katy is the Midpoint of the common range of prices reported for the Katy tailgate by Gas Daily.</w:t>
      </w:r>
    </w:p>
    <w:p>
      <w:pPr>
        <w:pStyle w:val="Normal"/>
        <w:rPr/>
      </w:pPr>
      <w:r>
        <w:rPr/>
      </w:r>
    </w:p>
    <w:p>
      <w:pPr>
        <w:pStyle w:val="Normal"/>
        <w:rPr>
          <w:b/>
          <w:u w:val="single"/>
        </w:rPr>
      </w:pPr>
      <w:r>
        <w:rPr>
          <w:b/>
          <w:u w:val="single"/>
        </w:rPr>
        <w:t>HPL Failure to Take</w:t>
      </w:r>
    </w:p>
    <w:p>
      <w:pPr>
        <w:pStyle w:val="Normal"/>
        <w:ind w:hanging="2880" w:start="2880" w:end="0"/>
        <w:rPr/>
      </w:pPr>
      <w:r>
        <w:rPr>
          <w:b/>
          <w:u w:val="single"/>
        </w:rPr>
        <w:t>Daily Exchange Volumes</w:t>
      </w:r>
      <w:r>
        <w:rPr/>
        <w:tab/>
        <w:t>If HPL fails to take all or a portion of the Daily Exchange volume due to operational reasons and not excused by Force Majeure, then on a daily basis, MidCon would buy back the volumes not taken at the following prices:</w:t>
      </w:r>
    </w:p>
    <w:p>
      <w:pPr>
        <w:pStyle w:val="Normal"/>
        <w:numPr>
          <w:ilvl w:val="0"/>
          <w:numId w:val="2"/>
        </w:numPr>
        <w:tabs>
          <w:tab w:val="clear" w:pos="720"/>
          <w:tab w:val="left" w:pos="3240" w:leader="none"/>
        </w:tabs>
        <w:ind w:hanging="360" w:start="3240" w:end="0"/>
        <w:rPr/>
      </w:pPr>
      <w:r>
        <w:rPr/>
        <w:t>The lower of Gas Daily - Katy for the day of flow and the following day, where Gas Daily - Katy is the Midpoint of thet common range of prices reported for the Katy plant tailgate by Gas Daily.</w:t>
      </w:r>
    </w:p>
    <w:p>
      <w:pPr>
        <w:pStyle w:val="Normal"/>
        <w:rPr/>
      </w:pPr>
      <w:r>
        <w:rPr/>
      </w:r>
    </w:p>
    <w:p>
      <w:pPr>
        <w:pStyle w:val="Normal"/>
        <w:rPr>
          <w:b/>
          <w:u w:val="single"/>
        </w:rPr>
      </w:pPr>
      <w:r>
        <w:rPr>
          <w:b/>
          <w:u w:val="single"/>
        </w:rPr>
        <w:t>MidCon Failure to Take</w:t>
      </w:r>
    </w:p>
    <w:p>
      <w:pPr>
        <w:pStyle w:val="Normal"/>
        <w:ind w:hanging="2880" w:start="2880" w:end="0"/>
        <w:rPr/>
      </w:pPr>
      <w:r>
        <w:rPr>
          <w:b/>
          <w:u w:val="single"/>
        </w:rPr>
        <w:t>Daily Exchange Volumes</w:t>
      </w:r>
      <w:r>
        <w:rPr/>
        <w:tab/>
        <w:t>If MidCon fails to take all or a portion of the Daily Exchange volume due to operational reasons and not excused by Force Majeure, then on a daily basis, HPL would buy back the volumes not taken at the following prices:</w:t>
      </w:r>
    </w:p>
    <w:p>
      <w:pPr>
        <w:pStyle w:val="Normal"/>
        <w:numPr>
          <w:ilvl w:val="0"/>
          <w:numId w:val="2"/>
        </w:numPr>
        <w:tabs>
          <w:tab w:val="clear" w:pos="720"/>
          <w:tab w:val="left" w:pos="3240" w:leader="none"/>
        </w:tabs>
        <w:ind w:hanging="360" w:start="3240" w:end="0"/>
        <w:rPr/>
      </w:pPr>
      <w:r>
        <w:rPr/>
        <w:t>The lower of Gas Daily - Agua Dulce hub for the day of flow and the following day, where Gas Daily - Agua Dulce hub is the Midpoint of thet common range of prices reported for the Agua Dulce hub by Gas Daily.</w:t>
      </w:r>
    </w:p>
    <w:p>
      <w:pPr>
        <w:pStyle w:val="Normal"/>
        <w:rPr/>
      </w:pPr>
      <w:r>
        <w:rPr/>
      </w:r>
    </w:p>
    <w:p>
      <w:pPr>
        <w:pStyle w:val="Normal"/>
        <w:rPr>
          <w:i/>
          <w:i/>
          <w:sz w:val="16"/>
        </w:rPr>
      </w:pPr>
      <w:r>
        <w:rPr>
          <w:i/>
          <w:sz w:val="16"/>
        </w:rPr>
        <w:t>Price is indicative only and subject to Seller's verification.  This proposal is for discussion purposes only and is not complete and all inclusive of the terms of the related transaction.  It does not create and is not intended to create a binding and enforceable contract between the parties and may not be relied upon by either party as the basis for a contract by estopple or otherwise, but rather evidences a non-binding expression of a good faith understanding to endeavor, without obligation, to negotiate mutually agreeable definitive agreements.  Any contract will only be created upon execution of a mutually acceptable agreement, containing all appropriate provisions, including, but not limited to, those relating to credit and limitation of damages and remedies of force majure.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2000-07-10T10:04:00Z</dcterms:created>
  <dc:creator>gbrazai</dc:creator>
  <dc:description/>
  <dc:language>en-CA</dc:language>
  <cp:lastModifiedBy>gbrazai</cp:lastModifiedBy>
  <cp:lastPrinted>2000-07-10T07:29:00Z</cp:lastPrinted>
  <dcterms:modified xsi:type="dcterms:W3CDTF">2000-07-10T10:04:00Z</dcterms:modified>
  <cp:revision>2</cp:revision>
  <dc:subject/>
  <dc:title>CONFIDENTIAL</dc:title>
</cp:coreProperties>
</file>