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rPr>
        <w:t>ATTACHMENT "A"</w:t>
      </w:r>
    </w:p>
    <w:p>
      <w:pPr>
        <w:pStyle w:val="Normal"/>
        <w:jc w:val="center"/>
        <w:rPr>
          <w:b/>
          <w:sz w:val="22"/>
        </w:rPr>
      </w:pPr>
      <w:r>
        <w:rPr>
          <w:b/>
          <w:sz w:val="22"/>
        </w:rPr>
        <w:t>(November 13, 1998)</w:t>
      </w:r>
    </w:p>
    <w:p>
      <w:pPr>
        <w:pStyle w:val="Normal"/>
        <w:jc w:val="center"/>
        <w:rPr>
          <w:b/>
          <w:sz w:val="22"/>
        </w:rPr>
      </w:pPr>
      <w:r>
        <w:rPr>
          <w:b/>
          <w:sz w:val="22"/>
        </w:rPr>
      </w:r>
    </w:p>
    <w:p>
      <w:pPr>
        <w:pStyle w:val="Heading1"/>
        <w:ind w:hanging="0" w:start="0"/>
        <w:jc w:val="both"/>
        <w:rPr/>
      </w:pPr>
      <w:r>
        <w:rPr/>
        <w:t>Since this contract incorporates Conoco General Provision for Domestic Crude Oil Agreements, dated January 1993 by reference, Enron Reserve Acquisition Corp. ("ERAC") accepts Conoco's GTC's with the following exceptions:  Sections E through I, inclusive and Sections K and P of Conoco's General Provisions are not incorporated herein, and are expressly excluded from this agreement.</w:t>
      </w:r>
    </w:p>
    <w:p>
      <w:pPr>
        <w:pStyle w:val="Normal"/>
        <w:rPr/>
      </w:pPr>
      <w:r>
        <w:rPr/>
      </w:r>
    </w:p>
    <w:p>
      <w:pPr>
        <w:pStyle w:val="Normal"/>
        <w:rPr>
          <w:b/>
          <w:sz w:val="22"/>
        </w:rPr>
      </w:pPr>
      <w:r>
        <w:rPr>
          <w:b/>
          <w:sz w:val="22"/>
        </w:rPr>
        <w:t>The following new clauses should also be added:</w:t>
      </w:r>
    </w:p>
    <w:p>
      <w:pPr>
        <w:pStyle w:val="Normal"/>
        <w:rPr>
          <w:b/>
          <w:sz w:val="22"/>
        </w:rPr>
      </w:pPr>
      <w:r>
        <w:rPr>
          <w:b/>
          <w:sz w:val="22"/>
        </w:rPr>
      </w:r>
    </w:p>
    <w:p>
      <w:pPr>
        <w:pStyle w:val="Normal"/>
        <w:rPr>
          <w:b/>
          <w:sz w:val="22"/>
        </w:rPr>
      </w:pPr>
      <w:r>
        <w:rPr>
          <w:b/>
          <w:sz w:val="22"/>
        </w:rPr>
      </w:r>
    </w:p>
    <w:p>
      <w:pPr>
        <w:pStyle w:val="Normal"/>
        <w:rPr/>
      </w:pPr>
      <w:r>
        <w:rPr>
          <w:b/>
          <w:sz w:val="21"/>
          <w:u w:val="single"/>
        </w:rPr>
        <w:t>FORCE MAJEURE</w:t>
      </w:r>
      <w:r>
        <w:rPr>
          <w:sz w:val="21"/>
        </w:rPr>
        <w:t>:</w:t>
      </w:r>
    </w:p>
    <w:p>
      <w:pPr>
        <w:pStyle w:val="Normal"/>
        <w:rPr>
          <w:sz w:val="21"/>
        </w:rPr>
      </w:pPr>
      <w:r>
        <w:rPr>
          <w:sz w:val="21"/>
        </w:rPr>
      </w:r>
    </w:p>
    <w:p>
      <w:pPr>
        <w:pStyle w:val="Normal"/>
        <w:jc w:val="both"/>
        <w:rPr>
          <w:sz w:val="21"/>
        </w:rPr>
      </w:pPr>
      <w:r>
        <w:rPr>
          <w:sz w:val="21"/>
        </w:rPr>
        <w:t>“</w:t>
      </w:r>
      <w:r>
        <w:rPr>
          <w:sz w:val="21"/>
        </w:rPr>
        <w:t>Force Majeure” shall mean a failure by either party to perform obligations hereunder, except for the obligation to make payment due hereunder, to the extent that such failure is caused by war, riots, insurrections, fire, explosions, sabotage, strikes and other labor or industrial disturbances, acts of God or the elements, governmental laws, regulations or requests, disruption or breakdown of production or transportation facilities, delays of pipeline carriers in receiving or delivering Crude Oil tendered, or by any other cause reasonably beyond the control of such party, but does not include the failure to perform obligations solely as a result of the fact that to do so will result in economic loss or hardship to such party.  If a party is prevented from performing its obligations hereunder as a result of Force Majeure, such party shall promptly notify the other party thereof, describing the nature and the expected duration of such event.  The time for Seller to make or for ERAC to receive delivery hereunder shall be extended during any period in which delivery or receipt is delayed or prevented by Force Majeure.  If the delivery or receipt is delayed or prevented for a period beyond the end of the Initial Delivery Period or any Subsequent Delivery Period, as applicable, either party may terminate this agreement with respect to such delivery upon written notice to the other party.</w:t>
      </w:r>
    </w:p>
    <w:p>
      <w:pPr>
        <w:pStyle w:val="Normal"/>
        <w:jc w:val="both"/>
        <w:rPr>
          <w:sz w:val="21"/>
        </w:rPr>
      </w:pPr>
      <w:r>
        <w:rPr>
          <w:sz w:val="21"/>
        </w:rPr>
      </w:r>
    </w:p>
    <w:p>
      <w:pPr>
        <w:pStyle w:val="Normal"/>
        <w:rPr/>
      </w:pPr>
      <w:r>
        <w:rPr>
          <w:b/>
          <w:sz w:val="21"/>
          <w:u w:val="single"/>
        </w:rPr>
        <w:t>WARRANTY</w:t>
      </w:r>
      <w:r>
        <w:rPr>
          <w:sz w:val="21"/>
        </w:rPr>
        <w:t>:</w:t>
      </w:r>
    </w:p>
    <w:p>
      <w:pPr>
        <w:pStyle w:val="Normal"/>
        <w:rPr>
          <w:sz w:val="21"/>
        </w:rPr>
      </w:pPr>
      <w:r>
        <w:rPr>
          <w:sz w:val="21"/>
        </w:rPr>
      </w:r>
    </w:p>
    <w:p>
      <w:pPr>
        <w:pStyle w:val="Normal"/>
        <w:jc w:val="both"/>
        <w:rPr>
          <w:sz w:val="21"/>
        </w:rPr>
      </w:pPr>
      <w:r>
        <w:rPr>
          <w:sz w:val="21"/>
        </w:rPr>
        <w:t>Seller hereby warrants good title to the Crude Oil delivered by Seller to ERAC, the right to sell the same, and that the Crude Oil is free from all liens, encumbrances and adverse claims.  Seller agrees to pay, or cause to be paid, or delivered in kind to the parties entitled thereto all royalties, overriding royalties or like charges assessed against the Crude Oil or the value thereof.  Seller shall protect, defend, indemnify and hold ERAC harmless from and against all suits, actions, debts, accounts, damages, costs, losses and expenses (including attorney’s fees) arising from or out of any adverse claims of any nature, including royalty claims, of any and all persons to or against the Crude Oil.  In the event any adverse claim of any character whatsoever is asserted in respect to any of the Crude Oil, ERAC may suspend its obligation to pay for Crude Oil hereunder and suspend payments up to the amount of such claim without interest until such claim has been finally determined, as security for the performance of Seller’s obligations with respect to such claim, or until Seller shall have furnished a bond to ERAC in an amount and with securities satisfactory to ERAC.</w:t>
      </w:r>
    </w:p>
    <w:p>
      <w:pPr>
        <w:pStyle w:val="Normal"/>
        <w:rPr>
          <w:b/>
          <w:sz w:val="21"/>
          <w:u w:val="single"/>
        </w:rPr>
      </w:pPr>
      <w:r>
        <w:rPr>
          <w:b/>
          <w:sz w:val="21"/>
          <w:u w:val="single"/>
        </w:rPr>
      </w:r>
    </w:p>
    <w:p>
      <w:pPr>
        <w:pStyle w:val="Normal"/>
        <w:rPr/>
      </w:pPr>
      <w:r>
        <w:rPr>
          <w:b/>
          <w:sz w:val="21"/>
          <w:u w:val="single"/>
        </w:rPr>
        <w:t>TAXES</w:t>
      </w:r>
      <w:r>
        <w:rPr>
          <w:sz w:val="21"/>
        </w:rPr>
        <w:t>:</w:t>
      </w:r>
    </w:p>
    <w:p>
      <w:pPr>
        <w:pStyle w:val="Normal"/>
        <w:rPr>
          <w:sz w:val="21"/>
        </w:rPr>
      </w:pPr>
      <w:r>
        <w:rPr>
          <w:sz w:val="21"/>
        </w:rPr>
      </w:r>
    </w:p>
    <w:p>
      <w:pPr>
        <w:pStyle w:val="Normal"/>
        <w:jc w:val="both"/>
        <w:rPr/>
      </w:pPr>
      <w:r>
        <w:rPr>
          <w:sz w:val="21"/>
        </w:rPr>
        <w:t>The Price under this agreement includes full reimbursement for, and the Seller is liable for and shall pay, cause to be paid or reimburse ERAC if ERAC has paid, any ad valorem, property, occupation, severance, production, extraction, first use, first or subsequent purchaser, conservation, gathering, pipeline, utility, gross production, gross receipts, gross income, oil revenue, oil import, privilege, sales, use, consumption, Btu, energy, excise, lease, transaction and any other taxes, governmental charges, assessments, licenses, fees or permits, or increase thereon, other than taxes based on net income or net worth (collectively, “</w:t>
      </w:r>
      <w:r>
        <w:rPr>
          <w:sz w:val="21"/>
          <w:u w:val="single"/>
        </w:rPr>
        <w:t>Taxes</w:t>
      </w:r>
      <w:r>
        <w:rPr>
          <w:sz w:val="21"/>
        </w:rPr>
        <w:t>”) applicable to the Crude Oil sold hereunder imposed, assessed or collected at or upstream of the Delivery Locations.  Seller shall indemnify, defend and hold ERAC harmless from any liability against all such Taxes.  The Price does not include reimbursement for, and the ERAC is liable for and shall pay, cause to be paid or reimburse Seller if Seller has paid, any Taxes applicable to the Crude Oil sold hereunder imposed, assessed or collected downstream of the Delivery Locations.  ERAC shall indemnify, defend and hold Seller harmless from any liability against all such Taxes.  If either party becomes subject to any federal Btu, energy, environmental, or consumption Tax enacted after the date of this agreement, then, notwithstanding anything to the contrary contained herein, (i) either party may terminate this agreement at any time by notice in writing to the other party and (ii) in the event neither party elects to terminate this agreement, ERAC will assume responsibility for payment of such tax on the Crude Oil purchased hereunder.</w:t>
      </w:r>
    </w:p>
    <w:p>
      <w:pPr>
        <w:pStyle w:val="Normal"/>
        <w:jc w:val="both"/>
        <w:rPr>
          <w:sz w:val="21"/>
        </w:rPr>
      </w:pPr>
      <w:r>
        <w:rPr>
          <w:sz w:val="21"/>
        </w:rPr>
      </w:r>
    </w:p>
    <w:p>
      <w:pPr>
        <w:pStyle w:val="Normal"/>
        <w:jc w:val="both"/>
        <w:rPr>
          <w:sz w:val="21"/>
        </w:rPr>
      </w:pPr>
      <w:r>
        <w:rPr>
          <w:sz w:val="21"/>
        </w:rPr>
        <w:t>Both parties shall use reasonable efforts to administer this agreement and implement the provisions thereof in accordance with their intent to minimize or reduce Taxes.  Upon request, a party shall provide the other party a certificate of exemption or other reasonably satisfactory evidence of exemption from any Taxes, and each party agrees to cooperate with the other party in obtaining any such exemption.</w:t>
      </w:r>
    </w:p>
    <w:p>
      <w:pPr>
        <w:pStyle w:val="Normal"/>
        <w:jc w:val="both"/>
        <w:rPr>
          <w:sz w:val="21"/>
        </w:rPr>
      </w:pPr>
      <w:r>
        <w:rPr>
          <w:sz w:val="21"/>
        </w:rPr>
      </w:r>
    </w:p>
    <w:p>
      <w:pPr>
        <w:pStyle w:val="Normal"/>
        <w:rPr/>
      </w:pPr>
      <w:r>
        <w:rPr>
          <w:b/>
          <w:sz w:val="21"/>
          <w:u w:val="single"/>
        </w:rPr>
        <w:t>NON-PERFORMANCE</w:t>
      </w:r>
      <w:r>
        <w:rPr>
          <w:sz w:val="21"/>
        </w:rPr>
        <w:t>:</w:t>
      </w:r>
    </w:p>
    <w:p>
      <w:pPr>
        <w:pStyle w:val="Normal"/>
        <w:rPr>
          <w:sz w:val="21"/>
        </w:rPr>
      </w:pPr>
      <w:r>
        <w:rPr>
          <w:sz w:val="21"/>
        </w:rPr>
      </w:r>
    </w:p>
    <w:p>
      <w:pPr>
        <w:pStyle w:val="Normal"/>
        <w:jc w:val="both"/>
        <w:rPr/>
      </w:pPr>
      <w:r>
        <w:rPr>
          <w:sz w:val="21"/>
        </w:rPr>
        <w:t>Notwithstanding any other provisions of this agreement, in the event either party (the “</w:t>
      </w:r>
      <w:r>
        <w:rPr>
          <w:sz w:val="21"/>
          <w:u w:val="single"/>
        </w:rPr>
        <w:t>Non-Performing Party</w:t>
      </w:r>
      <w:r>
        <w:rPr>
          <w:sz w:val="21"/>
        </w:rPr>
        <w:t>”) shall (i) default in the payment or performance of any obligation to the other party under this or any other contract after two business days’ notice of such failure, (ii) file a petition or otherwise commence or authorize the commencement of a proceeding or case under any bankruptcy, reorganization, or similar law for the protection of creditors or have any such petition filed or proceeding commenced against it, (iii) otherwise become bankrupt or insolvent (however evidenced), (iv) be unable to pay its debts as they fall due, or (v) fail to give adequate security for, or assurances of, its ability to perform its obligations hereunder or thereunder within forty-eight (48) hours of a reasonable request therefor, then in any such event the other party (the “</w:t>
      </w:r>
      <w:r>
        <w:rPr>
          <w:sz w:val="21"/>
          <w:u w:val="single"/>
        </w:rPr>
        <w:t>Performing Party</w:t>
      </w:r>
      <w:r>
        <w:rPr>
          <w:sz w:val="21"/>
        </w:rPr>
        <w:t>”) shall, in addition to all other rights and remedies available to the Performing Party, have the right immediately to terminate this agreement by notice in writing to the Non-Performing Party.  The Performing Party’s rights under this provision shall be in addition to, and not in limitation or exclusion of, any other rights which the Performing Party may have (whether by agreement, operation of law or otherwise), including any rights and remedies under the Uniform Commercial Code.  The Non-Performing Party shall indemnify and hold the Performing Party harmless from all costs and expenses, including reasonable attorneys fees, incurred in the exercise of any remedies hereunder.  If a default occurs, the Performing Party may, without limitation on its rights under this provision, set off amounts which the Non-Performing Party owes to it against any amounts which it owes to the Non-Performing Party (whether hereunder, under a forward contract or otherwise and whether or not then due).  The parties agree that this contract constitutes a “forward contract” for purposes of Section 556 of the U. S. Bankruptcy Code.</w:t>
      </w:r>
    </w:p>
    <w:p>
      <w:pPr>
        <w:pStyle w:val="Normal"/>
        <w:rPr>
          <w:b/>
          <w:sz w:val="21"/>
          <w:u w:val="single"/>
        </w:rPr>
      </w:pPr>
      <w:r>
        <w:rPr>
          <w:b/>
          <w:sz w:val="21"/>
          <w:u w:val="single"/>
        </w:rPr>
      </w:r>
    </w:p>
    <w:p>
      <w:pPr>
        <w:pStyle w:val="Normal"/>
        <w:rPr/>
      </w:pPr>
      <w:r>
        <w:rPr>
          <w:b/>
          <w:sz w:val="21"/>
          <w:u w:val="single"/>
        </w:rPr>
        <w:t>LIABILITIES</w:t>
      </w:r>
      <w:r>
        <w:rPr>
          <w:sz w:val="21"/>
        </w:rPr>
        <w:t>:</w:t>
      </w:r>
    </w:p>
    <w:p>
      <w:pPr>
        <w:pStyle w:val="Normal"/>
        <w:rPr>
          <w:sz w:val="21"/>
        </w:rPr>
      </w:pPr>
      <w:r>
        <w:rPr>
          <w:sz w:val="21"/>
        </w:rPr>
      </w:r>
    </w:p>
    <w:p>
      <w:pPr>
        <w:pStyle w:val="Normal"/>
        <w:jc w:val="both"/>
        <w:rPr>
          <w:sz w:val="21"/>
        </w:rPr>
      </w:pPr>
      <w:r>
        <w:rPr>
          <w:sz w:val="21"/>
        </w:rPr>
        <w:t>In no event shall Seller or ERAC be liable to the other for indirect, consequential, or punitive damages.</w:t>
      </w:r>
    </w:p>
    <w:p>
      <w:pPr>
        <w:pStyle w:val="Normal"/>
        <w:jc w:val="both"/>
        <w:rPr>
          <w:sz w:val="21"/>
        </w:rPr>
      </w:pPr>
      <w:r>
        <w:rPr>
          <w:sz w:val="21"/>
        </w:rPr>
      </w:r>
    </w:p>
    <w:p>
      <w:pPr>
        <w:pStyle w:val="Normal"/>
        <w:keepNext w:val="true"/>
        <w:keepLines/>
        <w:rPr/>
      </w:pPr>
      <w:r>
        <w:rPr>
          <w:b/>
          <w:sz w:val="21"/>
          <w:u w:val="single"/>
        </w:rPr>
        <w:t>ASSIGNMENT</w:t>
      </w:r>
      <w:r>
        <w:rPr>
          <w:sz w:val="21"/>
        </w:rPr>
        <w:t>:</w:t>
      </w:r>
    </w:p>
    <w:p>
      <w:pPr>
        <w:pStyle w:val="Normal"/>
        <w:keepNext w:val="true"/>
        <w:keepLines/>
        <w:rPr>
          <w:sz w:val="21"/>
        </w:rPr>
      </w:pPr>
      <w:r>
        <w:rPr>
          <w:sz w:val="21"/>
        </w:rPr>
      </w:r>
    </w:p>
    <w:p>
      <w:pPr>
        <w:pStyle w:val="Normal"/>
        <w:keepNext w:val="true"/>
        <w:keepLines/>
        <w:jc w:val="both"/>
        <w:rPr>
          <w:sz w:val="21"/>
        </w:rPr>
      </w:pPr>
      <w:r>
        <w:rPr>
          <w:sz w:val="21"/>
        </w:rPr>
        <w:t>Except as expressly provided for herein, the rights and obligations of the parties under this agreement may not be assigned or delegated by either party without the prior written consent of the other party, except that this provision shall not apply to an assignment by ERAC to any affiliate of ERAC.</w:t>
      </w:r>
    </w:p>
    <w:p>
      <w:pPr>
        <w:pStyle w:val="Normal"/>
        <w:spacing w:lineRule="atLeast" w:line="240"/>
        <w:ind w:hanging="2880" w:start="2880" w:end="0"/>
        <w:rPr>
          <w:rFonts w:ascii="Helv" w:hAnsi="Helv" w:cs="Helv"/>
          <w:b/>
          <w:color w:val="000000"/>
          <w:sz w:val="21"/>
        </w:rPr>
      </w:pPr>
      <w:r>
        <w:rPr>
          <w:rFonts w:cs="Helv" w:ascii="Helv" w:hAnsi="Helv"/>
          <w:b/>
          <w:color w:val="000000"/>
          <w:sz w:val="21"/>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altName w:val="Times"/>
    <w:charset w:val="00" w:characterSet="windows-1252"/>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enter" w:pos="4320" w:leader="none"/>
        <w:tab w:val="left" w:pos="6840" w:leader="none"/>
        <w:tab w:val="right" w:pos="8640" w:leader="none"/>
      </w:tabs>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Times" w:hAnsi="Times New Roman;Times" w:eastAsia="Times New Roman;Times" w:cs="Times New Roman;Times"/>
      <w:color w:val="auto"/>
      <w:sz w:val="20"/>
      <w:szCs w:val="20"/>
      <w:lang w:val="en-US" w:bidi="ar-SA" w:eastAsia="zh-CN"/>
    </w:rPr>
  </w:style>
  <w:style w:type="paragraph" w:styleId="Heading1">
    <w:name w:val="heading 1"/>
    <w:basedOn w:val="Normal"/>
    <w:next w:val="Normal"/>
    <w:qFormat/>
    <w:pPr>
      <w:keepNext w:val="true"/>
      <w:numPr>
        <w:ilvl w:val="0"/>
        <w:numId w:val="1"/>
      </w:numPr>
      <w:spacing w:lineRule="atLeast" w:line="240"/>
      <w:outlineLvl w:val="0"/>
    </w:pPr>
    <w:rPr>
      <w:b/>
      <w:color w:val="000000"/>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1440" w:start="144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1998-11-13T13:04:00Z</dcterms:created>
  <dc:creator>Nony Flores</dc:creator>
  <dc:description/>
  <dc:language>en-CA</dc:language>
  <cp:lastModifiedBy>nflores</cp:lastModifiedBy>
  <cp:lastPrinted>2001-10-26T09:57:00Z</cp:lastPrinted>
  <dcterms:modified xsi:type="dcterms:W3CDTF">2001-10-26T12:27:00Z</dcterms:modified>
  <cp:revision>2</cp:revision>
  <dc:subject/>
  <dc:title>ATTACHMENT "A"</dc:title>
</cp:coreProperties>
</file>