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spacing w:before="0" w:after="240"/>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spacing w:before="0" w:after="240"/>
        <w:rPr>
          <w:rFonts w:ascii="Tms Rmn" w:hAnsi="Tms Rmn" w:cs="Tms Rmn"/>
        </w:rPr>
      </w:pPr>
      <w:r>
        <w:rPr>
          <w:rFonts w:cs="Tms Rmn" w:ascii="Tms Rmn" w:hAnsi="Tms Rmn"/>
        </w:rPr>
        <w:tab/>
        <w:tab/>
        <w:tab/>
        <w:tab/>
        <w:tab/>
        <w:tab/>
        <w:tab/>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spacing w:before="0" w:after="240"/>
        <w:rPr>
          <w:rFonts w:ascii="Tms Rmn" w:hAnsi="Tms Rmn" w:cs="Tms Rmn"/>
        </w:rPr>
      </w:pPr>
      <w:r>
        <w:rPr>
          <w:rFonts w:cs="Tms Rmn" w:ascii="Tms Rmn" w:hAnsi="Tms Rmn"/>
        </w:rPr>
        <w:t>October 24, 2001</w:t>
      </w:r>
    </w:p>
    <w:p>
      <w:pPr>
        <w:pStyle w:val="Normal"/>
        <w:rPr/>
      </w:pPr>
      <w:r>
        <w:rPr/>
        <w:t>Ms. Patrice Thurston</w:t>
      </w:r>
    </w:p>
    <w:p>
      <w:pPr>
        <w:pStyle w:val="Normal"/>
        <w:rPr/>
      </w:pPr>
      <w:r>
        <w:rPr/>
        <w:t>Enron North America Corp.</w:t>
      </w:r>
    </w:p>
    <w:p>
      <w:pPr>
        <w:pStyle w:val="Normal"/>
        <w:rPr/>
      </w:pPr>
      <w:r>
        <w:rPr/>
        <w:t>1400 Smith Street</w:t>
      </w:r>
    </w:p>
    <w:p>
      <w:pPr>
        <w:pStyle w:val="Normal"/>
        <w:rPr/>
      </w:pPr>
      <w:r>
        <w:rPr/>
        <w:t>Houston, TX  77002-7361</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spacing w:before="0" w:after="240"/>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spacing w:before="0" w:after="480"/>
        <w:jc w:val="center"/>
        <w:rPr>
          <w:rFonts w:ascii="Tms Rmn" w:hAnsi="Tms Rmn" w:cs="Tms Rmn"/>
        </w:rPr>
      </w:pPr>
      <w:r>
        <w:rPr>
          <w:rFonts w:cs="Tms Rmn" w:ascii="Tms Rmn" w:hAnsi="Tms Rmn"/>
          <w:b/>
        </w:rPr>
        <w:t>CONFIRMATION LETTER</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pPr>
      <w:r>
        <w:rPr>
          <w:rFonts w:cs="Tms Rmn" w:ascii="Tms Rmn" w:hAnsi="Tms Rmn"/>
        </w:rPr>
        <w:tab/>
        <w:t xml:space="preserve">This firm sale Confirmation Letter shall confirm the agreement reached on October 24, 2001 between Central Illinois Light Company ("Buyer") and Enron North America Corp. (“Seller”), formerly </w:t>
      </w:r>
      <w:r>
        <w:rPr/>
        <w:t>Enron Capital &amp; Trade Resources Corp.,</w:t>
      </w:r>
      <w:r>
        <w:rPr>
          <w:rFonts w:cs="Tms Rmn" w:ascii="Tms Rmn" w:hAnsi="Tms Rmn"/>
        </w:rPr>
        <w:t xml:space="preserve"> regarding the purchase and sale of Gas under the terms and conditions as follows: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pPr>
      <w:r>
        <w:rPr>
          <w:rFonts w:cs="Tms Rmn" w:ascii="Tms Rmn" w:hAnsi="Tms Rmn"/>
          <w:b/>
        </w:rPr>
        <w:t>PERIOD OF DELIVERY</w:t>
      </w:r>
      <w:r>
        <w:rPr>
          <w:rFonts w:cs="Tms Rmn" w:ascii="Tms Rmn" w:hAnsi="Tms Rmn"/>
        </w:rPr>
        <w:t>:</w:t>
        <w:tab/>
        <w:tab/>
        <w:tab/>
        <w:tab/>
        <w:t>November 1, 2001 through March 31, 2002</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t>MAXIMUM DAILY QUANTITY (“MDQ”):</w:t>
        <w:tab/>
      </w:r>
      <w:r>
        <w:rPr>
          <w:rFonts w:cs="Tms Rmn" w:ascii="Tms Rmn" w:hAnsi="Tms Rmn"/>
        </w:rPr>
        <w:t>10,000 MMBtu per Day*</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eastAsia="Tms Rmn" w:cs="Tms Rmn"/>
        </w:rPr>
      </w:pPr>
      <w:r>
        <w:rPr>
          <w:rFonts w:eastAsia="Tms Rmn" w:cs="Tms Rmn" w:ascii="Tms Rmn" w:hAnsi="Tms Rmn"/>
        </w:rPr>
        <w:t xml:space="preserve">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t xml:space="preserve">FIRM MAXIMUM DAILY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pPr>
      <w:r>
        <w:rPr>
          <w:rFonts w:eastAsia="Tms Rmn" w:cs="Tms Rmn" w:ascii="Tms Rmn" w:hAnsi="Tms Rmn"/>
          <w:b/>
        </w:rPr>
        <w:t xml:space="preserve">   </w:t>
      </w:r>
      <w:r>
        <w:rPr>
          <w:rFonts w:cs="Tms Rmn" w:ascii="Tms Rmn" w:hAnsi="Tms Rmn"/>
          <w:b/>
        </w:rPr>
        <w:t>QUANTITY (“FMDQ”):</w:t>
      </w:r>
      <w:r>
        <w:rPr>
          <w:rFonts w:cs="Tms Rmn" w:ascii="Tms Rmn" w:hAnsi="Tms Rmn"/>
        </w:rPr>
        <w:tab/>
        <w:tab/>
        <w:tab/>
        <w:tab/>
        <w:t>10,000 MMBtu per Day*</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eastAsia="Tms Rmn" w:cs="Tms Rmn"/>
        </w:rPr>
      </w:pPr>
      <w:r>
        <w:rPr>
          <w:rFonts w:eastAsia="Tms Rmn" w:cs="Tms Rmn" w:ascii="Tms Rmn" w:hAnsi="Tms Rmn"/>
        </w:rPr>
        <w:t xml:space="preserve">                                                                                 </w:t>
      </w:r>
    </w:p>
    <w:p>
      <w:pPr>
        <w:pStyle w:val="Normal"/>
        <w:tabs>
          <w:tab w:val="left" w:pos="720" w:leader="none"/>
          <w:tab w:val="left" w:pos="4320" w:leader="none"/>
        </w:tabs>
        <w:ind w:hanging="1440" w:start="1440" w:end="0"/>
        <w:rPr/>
      </w:pPr>
      <w:r>
        <w:rPr>
          <w:rFonts w:cs="Tms Rmn" w:ascii="Tms Rmn" w:hAnsi="Tms Rmn"/>
          <w:b/>
        </w:rPr>
        <w:t>MinDQ:</w:t>
      </w:r>
      <w:r>
        <w:rPr>
          <w:rFonts w:cs="Tms Rmn" w:ascii="Tms Rmn" w:hAnsi="Tms Rmn"/>
        </w:rPr>
        <w:tab/>
        <w:t xml:space="preserve">     </w:t>
        <w:tab/>
        <w:t xml:space="preserve">0 </w:t>
      </w:r>
      <w:r>
        <w:rPr/>
        <w:t>MMBtu per Day, provided that Buyer shall have</w:t>
      </w:r>
    </w:p>
    <w:p>
      <w:pPr>
        <w:pStyle w:val="Normal"/>
        <w:tabs>
          <w:tab w:val="left" w:pos="720" w:leader="none"/>
          <w:tab w:val="left" w:pos="4320" w:leader="none"/>
        </w:tabs>
        <w:rPr/>
      </w:pPr>
      <w:r>
        <w:rPr/>
        <w:tab/>
        <w:tab/>
        <w:t>the unilateral right to fix a different MinDQ (not to</w:t>
      </w:r>
    </w:p>
    <w:p>
      <w:pPr>
        <w:pStyle w:val="Normal"/>
        <w:tabs>
          <w:tab w:val="left" w:pos="720" w:leader="none"/>
          <w:tab w:val="left" w:pos="4320" w:leader="none"/>
        </w:tabs>
        <w:rPr/>
      </w:pPr>
      <w:r>
        <w:rPr/>
        <w:tab/>
        <w:tab/>
        <w:t>exceed the FMDQ) for any Delivery Month by</w:t>
      </w:r>
    </w:p>
    <w:p>
      <w:pPr>
        <w:pStyle w:val="Normal"/>
        <w:tabs>
          <w:tab w:val="left" w:pos="720" w:leader="none"/>
          <w:tab w:val="left" w:pos="4320" w:leader="none"/>
        </w:tabs>
        <w:rPr/>
      </w:pPr>
      <w:r>
        <w:rPr/>
        <w:tab/>
        <w:tab/>
        <w:t>giving notice to Seller by 12:00 noon C.T. one (1)</w:t>
      </w:r>
    </w:p>
    <w:p>
      <w:pPr>
        <w:pStyle w:val="Normal"/>
        <w:tabs>
          <w:tab w:val="left" w:pos="720" w:leader="none"/>
          <w:tab w:val="left" w:pos="4320" w:leader="none"/>
        </w:tabs>
        <w:rPr/>
      </w:pPr>
      <w:r>
        <w:rPr/>
        <w:tab/>
        <w:tab/>
        <w:t>Business Day prior to the NYMEX close for the</w:t>
      </w:r>
    </w:p>
    <w:p>
      <w:pPr>
        <w:pStyle w:val="Normal"/>
        <w:tabs>
          <w:tab w:val="left" w:pos="720" w:leader="none"/>
          <w:tab w:val="left" w:pos="4320" w:leader="none"/>
        </w:tabs>
        <w:rPr/>
      </w:pPr>
      <w:r>
        <w:rPr/>
        <w:tab/>
        <w:tab/>
        <w:t>Delivery Month.</w:t>
      </w:r>
    </w:p>
    <w:p>
      <w:pPr>
        <w:pStyle w:val="Normal"/>
        <w:tabs>
          <w:tab w:val="left" w:pos="720" w:leader="none"/>
          <w:tab w:val="left" w:pos="4320" w:leader="none"/>
        </w:tabs>
        <w:rPr/>
      </w:pPr>
      <w:r>
        <w:rPr/>
      </w:r>
    </w:p>
    <w:p>
      <w:pPr>
        <w:pStyle w:val="Normal"/>
        <w:tabs>
          <w:tab w:val="left" w:pos="720" w:leader="none"/>
          <w:tab w:val="left" w:pos="4320" w:leader="none"/>
        </w:tabs>
        <w:rPr/>
      </w:pPr>
      <w:r>
        <w:rPr/>
      </w:r>
    </w:p>
    <w:p>
      <w:pPr>
        <w:pStyle w:val="Normal"/>
        <w:tabs>
          <w:tab w:val="left" w:pos="720" w:leader="none"/>
          <w:tab w:val="left" w:pos="4320" w:leader="none"/>
        </w:tabs>
        <w:rPr/>
      </w:pPr>
      <w:r>
        <w:rPr/>
        <w:tab/>
        <w:tab/>
        <w:t>*plus applicable Buyer’s Transporter’s Fuel Loss as</w:t>
      </w:r>
    </w:p>
    <w:p>
      <w:pPr>
        <w:pStyle w:val="Normal"/>
        <w:tabs>
          <w:tab w:val="left" w:pos="720" w:leader="none"/>
          <w:tab w:val="left" w:pos="4320" w:leader="none"/>
        </w:tabs>
        <w:rPr/>
      </w:pPr>
      <w:r>
        <w:rPr/>
        <w:tab/>
        <w:tab/>
        <w:t xml:space="preserve">  set forth in the effective FERC Gas Tariff</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eastAsia="Tms Rmn" w:cs="Tms Rmn"/>
        </w:rPr>
      </w:pPr>
      <w:r>
        <w:rPr>
          <w:rFonts w:eastAsia="Tms Rmn" w:cs="Tms Rmn" w:ascii="Tms Rmn" w:hAnsi="Tms Rmn"/>
        </w:rPr>
        <w:t xml:space="preserve">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pPr>
      <w:r>
        <w:rPr>
          <w:rFonts w:cs="Tms Rmn" w:ascii="Tms Rmn" w:hAnsi="Tms Rmn"/>
          <w:b/>
        </w:rPr>
        <w:t>BUYER'S TRANSPORTER:</w:t>
      </w:r>
      <w:r>
        <w:rPr>
          <w:rFonts w:cs="Tms Rmn" w:ascii="Tms Rmn" w:hAnsi="Tms Rmn"/>
        </w:rPr>
        <w:tab/>
        <w:tab/>
        <w:tab/>
        <w:t>Trunkline Gas Company (TGC)</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ab/>
        <w:tab/>
        <w:tab/>
        <w:tab/>
        <w:tab/>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pPr>
      <w:r>
        <w:rPr>
          <w:rFonts w:cs="Tms Rmn" w:ascii="Tms Rmn" w:hAnsi="Tms Rmn"/>
          <w:b/>
        </w:rPr>
        <w:t>SELLER'S TRANSPORTER:</w:t>
      </w:r>
      <w:r>
        <w:rPr>
          <w:rFonts w:cs="Tms Rmn" w:ascii="Tms Rmn" w:hAnsi="Tms Rmn"/>
        </w:rPr>
        <w:tab/>
        <w:tab/>
        <w:tab/>
        <w:t>TGC</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ab/>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pPr>
      <w:r>
        <w:rPr>
          <w:rFonts w:cs="Tms Rmn" w:ascii="Tms Rmn" w:hAnsi="Tms Rmn"/>
          <w:b/>
        </w:rPr>
        <w:t>DELIVERY POINT(S):</w:t>
      </w:r>
      <w:r>
        <w:rPr>
          <w:rFonts w:cs="Tms Rmn" w:ascii="Tms Rmn" w:hAnsi="Tms Rmn"/>
        </w:rPr>
        <w:tab/>
        <w:tab/>
        <w:tab/>
        <w:tab/>
        <w:t>South Texas Pool</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eastAsia="Tms Rmn" w:cs="Tms Rmn"/>
        </w:rPr>
      </w:pPr>
      <w:r>
        <w:rPr>
          <w:rFonts w:eastAsia="Tms Rmn" w:cs="Tms Rmn" w:ascii="Tms Rmn" w:hAnsi="Tms Rmn"/>
        </w:rPr>
        <w:t xml:space="preserve">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t>CONTRACT PRICE:</w:t>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ab/>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ind w:hanging="4200" w:start="4200" w:end="0"/>
        <w:rPr/>
      </w:pPr>
      <w:r>
        <w:rPr>
          <w:rFonts w:cs="Tms Rmn" w:ascii="Tms Rmn" w:hAnsi="Tms Rmn"/>
        </w:rPr>
        <w:tab/>
      </w:r>
      <w:r>
        <w:rPr>
          <w:rFonts w:cs="Tms Rmn" w:ascii="Tms Rmn" w:hAnsi="Tms Rmn"/>
          <w:b/>
        </w:rPr>
        <w:t>DEMAND CHARGE:</w:t>
      </w:r>
      <w:r>
        <w:rPr>
          <w:rFonts w:cs="Tms Rmn" w:ascii="Tms Rmn" w:hAnsi="Tms Rmn"/>
        </w:rPr>
        <w:tab/>
        <w:tab/>
        <w:tab/>
        <w:t>Buyer shall pay Seller $0.03 per MMBTU multiplied by the FMDQ, plus fuel, multiplied by the number of Days in the Month of delivery.</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rPr>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t>DAILY PRICING FOR PHYSICAL CALL OPTION</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r>
    </w:p>
    <w:p>
      <w:pPr>
        <w:pStyle w:val="BodyTextIndent"/>
        <w:rPr/>
      </w:pPr>
      <w:r>
        <w:rPr/>
        <w:t xml:space="preserve">Daily Pricing means the “Daily Midpoint” price set forth in Gas Daily® Platts, a division of The McGraw-Hill Companies, or success publication, in the column “Daily Price Survey” under the listing South-Corpus Christi, Trunkline South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BodyTextIndent"/>
        <w:rPr/>
      </w:pPr>
      <w:r>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tab/>
        <w:t>FLEXIBLE PRICING</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r>
    </w:p>
    <w:p>
      <w:pPr>
        <w:pStyle w:val="Normal"/>
        <w:tabs>
          <w:tab w:val="left" w:pos="720" w:leader="none"/>
        </w:tabs>
        <w:ind w:start="1440" w:end="0"/>
        <w:rPr>
          <w:rFonts w:ascii="Tms Rmn" w:hAnsi="Tms Rmn" w:cs="Tms Rmn"/>
        </w:rPr>
      </w:pPr>
      <w:r>
        <w:rPr>
          <w:rFonts w:cs="Tms Rmn" w:ascii="Tms Rmn" w:hAnsi="Tms Rmn"/>
        </w:rPr>
        <w:t>During the Period of Delivery for a Transaction, Buyer may request a price other than the original Contract Price, being a Fixed Price by contacting Seller requesting any such price for a specified quantity of Gas to be Scheduled during selected Months within the Period of Delivery; provided, such request must be made prior to 12:00 noon C.T. of the last Business Day prior to the last trading Day of the NYMEX Gas futures contract for the selected Month.  A Confirmation may be sent by Seller  to Buyer  confirming the Flexible Pricing agreement in accordance with Exhibit "A" "Fixed Price" means a fixed dollar amount agreed to by the Parties.  The price for all Gas for which a Flexible Price has not been agreed by the Parties shall be the original Contract Price applicable to the Transaction.   "Notwithstanding anything to the contrary contained in this Confirmation or the General Terms and Conditions, upon Buyer’s  acceptance of Fixed Price,  Buyer  shall keep whole and hold Seller  harmless for all cost and expenses incurred by Seller  with respect to the quantity of Gas that is converted into a Fixed Price, in the event that such quantity of Gas is not Scheduled by Buyer  for any reasons, including without limitation events of Force Majeure, unless Force Majeure is declared by Seller.</w:t>
      </w:r>
    </w:p>
    <w:p>
      <w:pPr>
        <w:pStyle w:val="Normal"/>
        <w:tabs>
          <w:tab w:val="left" w:pos="720" w:leader="none"/>
        </w:tabs>
        <w:rPr>
          <w:rFonts w:ascii="Arial" w:hAnsi="Arial" w:cs="Arial"/>
          <w:lang w:eastAsia="en-US"/>
        </w:rPr>
      </w:pPr>
      <w:r>
        <w:rPr>
          <w:rFonts w:cs="Arial" w:ascii="Arial" w:hAnsi="Arial"/>
          <w:lang w:eastAsia="en-US"/>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ab/>
        <w:tab/>
        <w:tab/>
        <w:tab/>
        <w:tab/>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b/>
        </w:rPr>
      </w:pPr>
      <w:r>
        <w:rPr>
          <w:rFonts w:cs="Tms Rmn" w:ascii="Tms Rmn" w:hAnsi="Tms Rmn"/>
          <w:b/>
        </w:rPr>
        <w:t xml:space="preserve">OTHER: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pPr>
      <w:r>
        <w:rPr>
          <w:rFonts w:cs="Tms Rmn" w:ascii="Tms Rmn" w:hAnsi="Tms Rmn"/>
        </w:rPr>
        <w:tab/>
      </w:r>
      <w:r>
        <w:rPr>
          <w:rFonts w:cs="Tms Rmn" w:ascii="Tms Rmn" w:hAnsi="Tms Rmn"/>
          <w:u w:val="single"/>
        </w:rPr>
        <w:t>Monthly Price Report</w:t>
      </w:r>
      <w:r>
        <w:rPr>
          <w:rFonts w:cs="Tms Rmn" w:ascii="Tms Rmn" w:hAnsi="Tms Rmn"/>
        </w:rPr>
        <w:t>:  Seller shall provide Buyer with a report no later than the time each monthly invoice is sent to Buyer, which shall include the volume, unit price and extended price for each category of Gas sold on each Day of such Month.</w:t>
      </w:r>
    </w:p>
    <w:p>
      <w:pPr>
        <w:pStyle w:val="Normal"/>
        <w:tabs>
          <w:tab w:val="left" w:pos="720" w:leader="none"/>
          <w:tab w:val="left" w:pos="4320" w:leader="none"/>
        </w:tabs>
        <w:rPr/>
      </w:pPr>
      <w:r>
        <w:rPr>
          <w:rFonts w:cs="Tms Rmn" w:ascii="Tms Rmn" w:hAnsi="Tms Rmn"/>
        </w:rPr>
        <w:tab/>
      </w:r>
      <w:r>
        <w:rPr>
          <w:u w:val="single"/>
        </w:rPr>
        <w:t>Nominations</w:t>
      </w:r>
      <w:r>
        <w:rPr/>
        <w:t>: Buyer must provide nomination notices to Seller by 7:45 AM C.T. on the immediately preceding  Business Day as to the FMDQ to be scheduled for the following Sunday and Monday; by 7:45 AM C.T. for next Day flow (for gas flow Tuesday through Saturday) and by 7:45 AM C.T. on the last Business Day prior to any National holiday for gas flow on the Day following said holiday.  Nominations for Saturday through Monday or holiday weekends must be a level volume. Nomination changes requested by Buyer after the 7:45 AM C.T. deadline shall be accommodated by Seller strictly on a reasonable efforts basis.</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spacing w:before="0" w:after="240"/>
        <w:rPr>
          <w:rFonts w:ascii="Tms Rmn" w:hAnsi="Tms Rmn" w:cs="Tms Rmn"/>
        </w:rPr>
      </w:pPr>
      <w:r>
        <w:rPr>
          <w:rFonts w:cs="Tms Rmn" w:ascii="Tms Rmn" w:hAnsi="Tms Rmn"/>
        </w:rPr>
        <w:tab/>
        <w:t>This Firm Confirmation Letter is being provided pursuant to and in accordance with that certain Master Firm Sales Agreement dated May 1, 1994 between Buyer and Seller, and constitutes part of and is subject to all of the terms and provisions of such Agreement.</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spacing w:before="0" w:after="240"/>
        <w:rPr>
          <w:rFonts w:ascii="Tms Rmn" w:hAnsi="Tms Rmn" w:cs="Tms Rmn"/>
        </w:rPr>
      </w:pPr>
      <w:r>
        <w:rPr>
          <w:rFonts w:cs="Tms Rmn" w:ascii="Tms Rmn" w:hAnsi="Tms Rmn"/>
        </w:rPr>
        <w:tab/>
        <w:t>Please confirm that the terms stated herein accurately reflect the agreement reached on October 24, 2001 between Buyer and Seller by returning an executed copy of this Confirmation Letter by facsimile to Buyer. Your response should be executed by an authorized person in your organization who has the authority to enter into this Transaction, and should be received by Buyer no later than 5:00 p.m. C.T. on the fourth (4th) Business Day following the date first written above. If Seller accepts this Confirmation Letter in writing by such time the terms set forth in this Confirmation Letter shall be a Transaction.   In the event Seller provides written objections to Buyer or fails to timely execute and return this Confirmation Letter, the terms set forth in this Confirmation Letter shall not be accepted and there will be no Transaction under the above Master Firm Sales Agreement pursuant to this Confirmation Letter.</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CENTRAL ILLINOIS LIGHT COMPANY</w:t>
        <w:tab/>
        <w:tab/>
        <w:t xml:space="preserve">         ENRON NORTH AMERICA CORP.</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eastAsia="Tms Rmn" w:cs="Tms Rmn"/>
        </w:rPr>
      </w:pPr>
      <w:r>
        <w:rPr>
          <w:rFonts w:eastAsia="Tms Rmn" w:cs="Tms Rmn" w:ascii="Tms Rmn" w:hAnsi="Tms Rmn"/>
        </w:rPr>
        <w:t xml:space="preserve">                                                                                             </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___________________________________                       ___________________________________</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(Title)______________________________                       (Title)______________________________</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t>(Date)______________________________                       (Date)______________________________</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rPr>
          <w:rFonts w:ascii="Tms Rmn" w:hAnsi="Tms Rmn" w:cs="Tms Rmn"/>
        </w:rPr>
      </w:pPr>
      <w:r>
        <w:rPr>
          <w:rFonts w:cs="Tms Rmn" w:ascii="Tms Rmn" w:hAnsi="Tms Rmn"/>
        </w:rPr>
      </w:r>
    </w:p>
    <w:p>
      <w:pPr>
        <w:pStyle w:val="Normal"/>
        <w:rPr/>
      </w:pPr>
      <w:r>
        <w:rPr/>
        <w:t>Exb_ect1.doc/</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s>
      <w:spacing w:lineRule="exact" w:line="240"/>
      <w:rPr>
        <w:rFonts w:ascii="Tms Rmn" w:hAnsi="Tms Rmn" w:cs="Tms Rmn"/>
      </w:rPr>
    </w:pPr>
    <w:r>
      <w:rPr>
        <w:rFonts w:cs="Tms Rmn" w:ascii="Tms Rmn" w:hAnsi="Tms Rmn"/>
      </w:rPr>
      <w:t>Confirmation Letter</w:t>
    </w:r>
  </w:p>
  <w:p>
    <w:pPr>
      <w:pStyle w:val="Normal"/>
      <w:tabs>
        <w:tab w:val="clear" w:pos="720"/>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s>
      <w:spacing w:lineRule="exact" w:line="240"/>
      <w:rPr/>
    </w:pPr>
    <w:r>
      <w:rPr>
        <w:rFonts w:cs="Tms Rmn" w:ascii="Tms Rmn" w:hAnsi="Tms Rm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3z0">
    <w:name w:val="WW8Num3z0"/>
    <w:qFormat/>
    <w:rPr>
      <w:rFonts w:ascii="Wingdings" w:hAnsi="Wingdings" w:cs="Wingdings"/>
      <w:b/>
    </w:rPr>
  </w:style>
  <w:style w:type="character" w:styleId="WW8Num4z0">
    <w:name w:val="WW8Num4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s>
      <w:ind w:hanging="0" w:start="1440" w:end="0"/>
    </w:pPr>
    <w:rPr>
      <w:rFonts w:ascii="Tms Rmn" w:hAnsi="Tms Rmn" w:cs="Tms Rm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2001-10-02T19:34:00Z</dcterms:created>
  <dc:creator>CILCO</dc:creator>
  <dc:description/>
  <dc:language>en-CA</dc:language>
  <cp:lastModifiedBy>Vonda Seckler</cp:lastModifiedBy>
  <cp:lastPrinted>2001-10-24T15:21:00Z</cp:lastPrinted>
  <dcterms:modified xsi:type="dcterms:W3CDTF">2001-10-24T17:51:00Z</dcterms:modified>
  <cp:revision>12</cp:revision>
  <dc:subject>Firm Supply</dc:subject>
  <dc:title>AQUILA CONFIRMATION LETTER</dc:title>
</cp:coreProperties>
</file>