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i/>
          <w:sz w:val="24"/>
          <w:u w:val="single"/>
        </w:rPr>
        <w:t>Example 1</w:t>
      </w:r>
      <w:r>
        <w:rPr>
          <w:sz w:val="24"/>
        </w:rPr>
        <w:t>.   Party A agrees to sell Party B 50MWh/h for Peak Hours on the next weekday for delivery at PJM Western Hub.  The Product is Unit Firm and Party A fails to deliver because Party A's generation source is forced out.</w:t>
      </w:r>
    </w:p>
    <w:p>
      <w:pPr>
        <w:pStyle w:val="Normal"/>
        <w:jc w:val="both"/>
        <w:rPr>
          <w:sz w:val="24"/>
        </w:rPr>
      </w:pPr>
      <w:r>
        <w:rPr>
          <w:sz w:val="24"/>
        </w:rPr>
      </w:r>
    </w:p>
    <w:p>
      <w:pPr>
        <w:pStyle w:val="Normal"/>
        <w:jc w:val="both"/>
        <w:rPr/>
      </w:pPr>
      <w:r>
        <w:rPr>
          <w:i/>
          <w:sz w:val="24"/>
        </w:rPr>
        <w:t>Outcome:</w:t>
      </w:r>
      <w:r>
        <w:rPr>
          <w:sz w:val="24"/>
        </w:rPr>
        <w:t xml:space="preserve">   No damages payable.  There is no unexcused failure to perform.  In this case the Product sold is Unit Firm, and by definition, the obligation to deliver Unit Firm Product is excused by forced outage of the relevant generation asset.</w:t>
      </w:r>
    </w:p>
    <w:p>
      <w:pPr>
        <w:pStyle w:val="Normal"/>
        <w:jc w:val="both"/>
        <w:rPr>
          <w:sz w:val="24"/>
        </w:rPr>
      </w:pPr>
      <w:r>
        <w:rPr>
          <w:sz w:val="24"/>
        </w:rPr>
      </w:r>
    </w:p>
    <w:p>
      <w:pPr>
        <w:pStyle w:val="Normal"/>
        <w:jc w:val="both"/>
        <w:rPr>
          <w:sz w:val="24"/>
        </w:rPr>
      </w:pPr>
      <w:r>
        <w:rPr>
          <w:sz w:val="24"/>
        </w:rPr>
      </w:r>
    </w:p>
    <w:p>
      <w:pPr>
        <w:pStyle w:val="Normal"/>
        <w:jc w:val="both"/>
        <w:rPr/>
      </w:pPr>
      <w:r>
        <w:rPr>
          <w:i/>
          <w:sz w:val="24"/>
          <w:u w:val="single"/>
        </w:rPr>
        <w:t>Example 2</w:t>
      </w:r>
      <w:r>
        <w:rPr>
          <w:sz w:val="24"/>
        </w:rPr>
        <w:t>.   Party A agrees to sell Party B the same 50MWh/h for Peak Hours on the next weekday for delivery at PJM Western Hub.  The Product is Firm (LD) and Party A fails to deliver because Party A is prevented from doing so by Force Majeure.</w:t>
      </w:r>
    </w:p>
    <w:p>
      <w:pPr>
        <w:pStyle w:val="Normal"/>
        <w:jc w:val="both"/>
        <w:rPr>
          <w:sz w:val="24"/>
        </w:rPr>
      </w:pPr>
      <w:r>
        <w:rPr>
          <w:sz w:val="24"/>
        </w:rPr>
      </w:r>
    </w:p>
    <w:p>
      <w:pPr>
        <w:pStyle w:val="Normal"/>
        <w:jc w:val="both"/>
        <w:rPr/>
      </w:pPr>
      <w:r>
        <w:rPr>
          <w:i/>
          <w:sz w:val="24"/>
        </w:rPr>
        <w:t>Outcome:</w:t>
      </w:r>
      <w:r>
        <w:rPr>
          <w:sz w:val="24"/>
        </w:rPr>
        <w:t xml:space="preserve">   No damages payable.  Because Party A's performance was prevented by Force Majeure, there is no unexcused failure to perform.</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r>
        <w:br w:type="page"/>
      </w:r>
    </w:p>
    <w:p>
      <w:pPr>
        <w:pStyle w:val="Normal"/>
        <w:rPr/>
      </w:pPr>
      <w:r>
        <w:rPr>
          <w:i/>
          <w:sz w:val="24"/>
          <w:u w:val="single"/>
        </w:rPr>
        <w:t>Example 3</w:t>
      </w:r>
      <w:r>
        <w:rPr>
          <w:sz w:val="24"/>
        </w:rPr>
        <w:t>.   Yesterday, Party A agreed to sell Party B 50 MWh/h for Peak Hours today.  The delivery point is COB, and price is $30/MWh.  The Product is Firm (No Force Majeure) and Party A fails to deliver.  Party A has no excuse (</w:t>
      </w:r>
      <w:r>
        <w:rPr>
          <w:sz w:val="24"/>
          <w:u w:val="single"/>
        </w:rPr>
        <w:t>e.g.</w:t>
      </w:r>
      <w:r>
        <w:rPr>
          <w:sz w:val="24"/>
        </w:rPr>
        <w:t>, Party B's failure to perform).  Today's price for the Product at the delivery point exceeded $30.</w:t>
      </w:r>
    </w:p>
    <w:p>
      <w:pPr>
        <w:pStyle w:val="Normal"/>
        <w:rPr>
          <w:sz w:val="24"/>
        </w:rPr>
      </w:pPr>
      <w:r>
        <w:rPr>
          <w:sz w:val="24"/>
        </w:rPr>
      </w:r>
    </w:p>
    <w:p>
      <w:pPr>
        <w:pStyle w:val="Normal"/>
        <w:rPr/>
      </w:pPr>
      <w:r>
        <w:rPr>
          <w:i/>
          <w:sz w:val="24"/>
        </w:rPr>
        <w:t>Outcome:</w:t>
      </w:r>
      <w:r>
        <w:rPr>
          <w:sz w:val="24"/>
        </w:rPr>
        <w:t xml:space="preserve">   Party B's options are as follows:</w:t>
      </w:r>
    </w:p>
    <w:p>
      <w:pPr>
        <w:pStyle w:val="Normal"/>
        <w:rPr>
          <w:sz w:val="24"/>
        </w:rPr>
      </w:pPr>
      <w:r>
        <w:rPr>
          <w:sz w:val="24"/>
        </w:rPr>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080" w:start="1080" w:end="1080"/>
        <w:jc w:val="both"/>
        <w:rPr>
          <w:sz w:val="24"/>
        </w:rPr>
      </w:pPr>
      <w:r>
        <w:rPr>
          <w:sz w:val="24"/>
        </w:rPr>
        <w:tab/>
        <w:t>1.</w:t>
        <w:tab/>
        <w:t>Acting in a commercially reasonably manner, buy replacement Product at COB and receive from Party A the excess of (a) the purchase price of such replacement Product, (plus reasonably incurred costs and transmission costs to COB, if any), expressed in US$, over (b) $30/MWh x 50 MWh/h x 16h.</w:t>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tab/>
        <w:tab/>
        <w:t>OR</w:t>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080" w:start="1080" w:end="1080"/>
        <w:jc w:val="both"/>
        <w:rPr>
          <w:sz w:val="24"/>
        </w:rPr>
      </w:pPr>
      <w:r>
        <w:rPr>
          <w:sz w:val="24"/>
        </w:rPr>
        <w:tab/>
        <w:t>2.</w:t>
        <w:tab/>
        <w:t>Acting in a commercially reasonably manner, determine the market price of replacement Product at COB and receive from Party A an amount determined by reference to such market price, as follows:</w:t>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080" w:start="1080" w:end="1080"/>
        <w:jc w:val="both"/>
        <w:rPr/>
      </w:pPr>
      <w:r>
        <w:rPr>
          <w:sz w:val="24"/>
        </w:rPr>
        <w:tab/>
        <w:tab/>
        <w:t xml:space="preserve">Assume that </w:t>
      </w:r>
      <w:r>
        <w:rPr>
          <w:i/>
          <w:sz w:val="24"/>
        </w:rPr>
        <w:t>MW Daily</w:t>
      </w:r>
      <w:r>
        <w:rPr>
          <w:sz w:val="24"/>
        </w:rPr>
        <w:t xml:space="preserve"> Market Report's Weighted Average Index for COB deliveries today is $32.69/MWh; the amount receivable from Party A is the excess of (a) $32.69/MWh x 50 MWh/h x 16h, over (b) $30/MWh x 50 MWh/h x 16h.</w:t>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tab/>
        <w:tab/>
        <w:t>Party B is entitled to receive this amount:</w:t>
      </w:r>
    </w:p>
    <w:p>
      <w:pPr>
        <w:pStyle w:val="Normal"/>
        <w:tabs>
          <w:tab w:val="left" w:pos="-120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tab/>
        <w:tab/>
        <w:t>(a)</w:t>
        <w:tab/>
        <w:t>whether it covers or not</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890" w:start="1890" w:end="1890"/>
        <w:jc w:val="both"/>
        <w:rPr/>
      </w:pPr>
      <w:r>
        <w:rPr>
          <w:sz w:val="24"/>
        </w:rPr>
        <w:tab/>
        <w:tab/>
        <w:t>(b)</w:t>
        <w:tab/>
        <w:t xml:space="preserve">if it determines the market price in a commercially reasonable manner, </w:t>
      </w:r>
      <w:r>
        <w:rPr>
          <w:sz w:val="24"/>
          <w:u w:val="single"/>
        </w:rPr>
        <w:t>i.e.</w:t>
      </w:r>
      <w:r>
        <w:rPr>
          <w:sz w:val="24"/>
        </w:rPr>
        <w:t>, not the published high or low</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890" w:start="1890" w:end="1890"/>
        <w:jc w:val="both"/>
        <w:rPr>
          <w:sz w:val="24"/>
        </w:rPr>
      </w:pPr>
      <w:r>
        <w:rPr>
          <w:sz w:val="24"/>
        </w:rPr>
        <w:tab/>
        <w:tab/>
        <w:t>(c)</w:t>
        <w:tab/>
        <w:t>if the market price determined is for a financial firm product, delivered at or adjusted to the delivery point</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890" w:start="1890" w:end="1890"/>
        <w:jc w:val="both"/>
        <w:rPr>
          <w:sz w:val="24"/>
        </w:rPr>
      </w:pPr>
      <w:r>
        <w:rPr>
          <w:sz w:val="24"/>
        </w:rPr>
        <w:tab/>
        <w:tab/>
        <w:t>(d)</w:t>
        <w:tab/>
        <w:t>even if it declines to produce replacement Product using its own generation assets that could have been employed to produce replacement Product</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r>
        <w:br w:type="page"/>
      </w:r>
    </w:p>
    <w:p>
      <w:pPr>
        <w:pStyle w:val="Normal"/>
        <w:rPr/>
      </w:pPr>
      <w:r>
        <w:rPr>
          <w:i/>
          <w:sz w:val="24"/>
          <w:u w:val="single"/>
        </w:rPr>
        <w:t>Example 4</w:t>
      </w:r>
      <w:r>
        <w:rPr>
          <w:sz w:val="24"/>
        </w:rPr>
        <w:t>.   Party A agreed to sell Party B 50MWh/h for Peak Hours for the month of November, 1999 for delivery into Cinergy, at a price of $30/MWh.  Party B opts for non-firm transmission, suffers an interruption on November 17, and as a result Party A cannot and does not deliver on November 17.  On November 17, the price on November 17 for the Product balance of the month of November is $28.</w:t>
      </w:r>
    </w:p>
    <w:p>
      <w:pPr>
        <w:pStyle w:val="Normal"/>
        <w:rPr>
          <w:sz w:val="24"/>
        </w:rPr>
      </w:pPr>
      <w:r>
        <w:rPr>
          <w:sz w:val="24"/>
        </w:rPr>
      </w:r>
    </w:p>
    <w:p>
      <w:pPr>
        <w:pStyle w:val="Normal"/>
        <w:rPr/>
      </w:pPr>
      <w:r>
        <w:rPr>
          <w:i/>
          <w:sz w:val="24"/>
        </w:rPr>
        <w:t>Outcome:</w:t>
      </w:r>
      <w:r>
        <w:rPr>
          <w:sz w:val="24"/>
        </w:rPr>
        <w:t xml:space="preserve">   Since, in accordance with the definition of "Into" Product, Party B is deemed to have failed to receive the Product, Party A's options are as follows:</w:t>
      </w:r>
    </w:p>
    <w:p>
      <w:pPr>
        <w:pStyle w:val="Normal"/>
        <w:rPr>
          <w:sz w:val="24"/>
        </w:rPr>
      </w:pPr>
      <w:r>
        <w:rPr>
          <w:sz w:val="24"/>
        </w:rPr>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440" w:start="1440" w:end="1440"/>
        <w:jc w:val="both"/>
        <w:rPr>
          <w:sz w:val="24"/>
        </w:rPr>
      </w:pPr>
      <w:r>
        <w:rPr>
          <w:sz w:val="24"/>
        </w:rPr>
        <w:tab/>
        <w:t>1.</w:t>
        <w:tab/>
        <w:t>Acting in a commercially reasonable manner, resell the Product and receive from Party B an amount equal to the Contract Price less the sales proceeds (reduced by reasonably incurred costs and additional transmission changes, if any).  Assuming a net resale price of $28, the amount receivable from Party B would be ($30 MWh-$28 MWh) x 50 MWh/h x 16 h/day x 9 days.</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tab/>
        <w:tab/>
        <w:t>OR</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440" w:start="1440" w:end="1440"/>
        <w:jc w:val="both"/>
        <w:rPr/>
      </w:pPr>
      <w:r>
        <w:rPr>
          <w:sz w:val="24"/>
        </w:rPr>
        <w:tab/>
        <w:t>2.</w:t>
        <w:tab/>
        <w:t xml:space="preserve">Acting in a commercially reasonable manner, determine the market price of the Product for the balance of the month of November, </w:t>
      </w:r>
      <w:r>
        <w:rPr>
          <w:sz w:val="24"/>
          <w:u w:val="single"/>
        </w:rPr>
        <w:t>e.g.</w:t>
      </w:r>
      <w:r>
        <w:rPr>
          <w:sz w:val="24"/>
        </w:rPr>
        <w:t xml:space="preserve"> from </w:t>
      </w:r>
      <w:r>
        <w:rPr>
          <w:i/>
          <w:sz w:val="24"/>
        </w:rPr>
        <w:t>MW Daily</w:t>
      </w:r>
      <w:r>
        <w:rPr>
          <w:sz w:val="24"/>
        </w:rPr>
        <w:t>'s Market Report, and receive from Party B an amount determined as above, but using the market price instead of the net sales proceeds.</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tab/>
        <w:tab/>
        <w:t>Party A is entitled to receive this amount:</w:t>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jc w:val="both"/>
        <w:rPr>
          <w:sz w:val="24"/>
        </w:rPr>
      </w:pPr>
      <w:r>
        <w:rPr>
          <w:sz w:val="24"/>
        </w:rPr>
      </w:r>
    </w:p>
    <w:p>
      <w:pPr>
        <w:pStyle w:val="Normal"/>
        <w:tabs>
          <w:tab w:val="left" w:pos="-1200" w:leader="none"/>
          <w:tab w:val="left" w:pos="-720" w:leader="none"/>
          <w:tab w:val="left" w:pos="0" w:leader="none"/>
          <w:tab w:val="left" w:pos="720" w:leader="none"/>
          <w:tab w:val="left" w:pos="1440" w:leader="none"/>
          <w:tab w:val="left" w:pos="1620" w:leader="none"/>
          <w:tab w:val="left" w:pos="189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1890" w:start="1890" w:end="0"/>
        <w:jc w:val="both"/>
        <w:rPr>
          <w:sz w:val="24"/>
        </w:rPr>
      </w:pPr>
      <w:r>
        <w:rPr>
          <w:sz w:val="24"/>
        </w:rPr>
        <w:tab/>
        <w:tab/>
        <w:t>(a)</w:t>
        <w:tab/>
        <w:t>whether or not the Product was actually resold</w:t>
      </w:r>
    </w:p>
    <w:p>
      <w:pPr>
        <w:pStyle w:val="Normal"/>
        <w:numPr>
          <w:ilvl w:val="0"/>
          <w:numId w:val="1"/>
        </w:numPr>
        <w:tabs>
          <w:tab w:val="left" w:pos="-1200" w:leader="none"/>
          <w:tab w:val="left" w:pos="-720" w:leader="none"/>
          <w:tab w:val="left" w:pos="0" w:leader="none"/>
          <w:tab w:val="left" w:pos="720" w:leader="none"/>
          <w:tab w:val="left" w:pos="1440" w:leader="none"/>
          <w:tab w:val="left" w:pos="162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450" w:start="1890" w:end="1890"/>
        <w:jc w:val="both"/>
        <w:rPr>
          <w:sz w:val="24"/>
        </w:rPr>
      </w:pPr>
      <w:r>
        <w:rPr>
          <w:sz w:val="24"/>
        </w:rPr>
        <w:t>as long as the market price was determined in a commercially reasonable manner, taking into account relevant available market data</w:t>
      </w:r>
    </w:p>
    <w:p>
      <w:pPr>
        <w:pStyle w:val="Normal"/>
        <w:numPr>
          <w:ilvl w:val="0"/>
          <w:numId w:val="1"/>
        </w:numPr>
        <w:tabs>
          <w:tab w:val="left" w:pos="-1200" w:leader="none"/>
          <w:tab w:val="left" w:pos="-720" w:leader="none"/>
          <w:tab w:val="left" w:pos="0" w:leader="none"/>
          <w:tab w:val="left" w:pos="720" w:leader="none"/>
          <w:tab w:val="left" w:pos="1440" w:leader="none"/>
          <w:tab w:val="left" w:pos="1620" w:leader="none"/>
          <w:tab w:val="left" w:pos="2160" w:leader="none"/>
          <w:tab w:val="left" w:pos="2520" w:leader="none"/>
          <w:tab w:val="left" w:pos="2880" w:leader="none"/>
          <w:tab w:val="left" w:pos="3600" w:leader="none"/>
          <w:tab w:val="left" w:pos="4320" w:leader="none"/>
          <w:tab w:val="left" w:pos="5040" w:leader="none"/>
          <w:tab w:val="left" w:pos="5400" w:leader="none"/>
          <w:tab w:val="left" w:pos="5760" w:leader="none"/>
          <w:tab w:val="left" w:pos="6120" w:leader="none"/>
          <w:tab w:val="left" w:pos="6480" w:leader="none"/>
          <w:tab w:val="left" w:pos="7200" w:leader="none"/>
          <w:tab w:val="left" w:pos="7920" w:leader="none"/>
        </w:tabs>
        <w:ind w:hanging="450" w:start="1890" w:end="1890"/>
        <w:jc w:val="both"/>
        <w:rPr/>
      </w:pPr>
      <w:r>
        <w:rPr>
          <w:sz w:val="24"/>
        </w:rPr>
        <w:t>even if Party A held a trading position (</w:t>
      </w:r>
      <w:r>
        <w:rPr>
          <w:sz w:val="24"/>
          <w:u w:val="single"/>
        </w:rPr>
        <w:t>e.g.</w:t>
      </w:r>
      <w:r>
        <w:rPr>
          <w:sz w:val="24"/>
        </w:rPr>
        <w:t>, a put) that would have entitled it to sell the Product at a price in excess of the Contract Price, and elected not to use its trading position to eliminate the loss caused by Party B's failure to receive</w:t>
      </w:r>
    </w:p>
    <w:sectPr>
      <w:footerReference w:type="default" r:id="rId2"/>
      <w:footerReference w:type="first" r:id="rId3"/>
      <w:type w:val="nextPage"/>
      <w:pgSz w:w="12240" w:h="15840"/>
      <w:pgMar w:left="1296"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NY:  1068658v2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890"/>
        </w:tabs>
        <w:ind w:start="1890" w:hanging="45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1">
    <w:name w:val="Quick 1."/>
    <w:basedOn w:val="Normal"/>
    <w:qFormat/>
    <w:pPr>
      <w:ind w:hanging="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1999-12-01T18:12:00Z</dcterms:created>
  <dc:creator>William F. Henze </dc:creator>
  <dc:description/>
  <dc:language>en-CA</dc:language>
  <cp:lastModifiedBy>William F. Henze </cp:lastModifiedBy>
  <cp:lastPrinted>1999-11-23T15:23:00Z</cp:lastPrinted>
  <dcterms:modified xsi:type="dcterms:W3CDTF">1999-12-01T18:12:00Z</dcterms:modified>
  <cp:revision>2</cp:revision>
  <dc:subject/>
  <dc:title>Example 1</dc:title>
</cp:coreProperties>
</file>