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u w:val="single"/>
        </w:rPr>
      </w:pPr>
      <w:r>
        <w:rPr>
          <w:sz w:val="24"/>
          <w:szCs w:val="24"/>
          <w:u w:val="single"/>
        </w:rPr>
        <w:t>Example of Implementation of SERC/TVA/Enron Agreement</w:t>
      </w:r>
    </w:p>
    <w:p>
      <w:pPr>
        <w:pStyle w:val="Normal"/>
        <w:jc w:val="center"/>
        <w:rPr>
          <w:sz w:val="24"/>
          <w:szCs w:val="24"/>
          <w:u w:val="single"/>
        </w:rPr>
      </w:pPr>
      <w:r>
        <w:rPr>
          <w:sz w:val="24"/>
          <w:szCs w:val="24"/>
          <w:u w:val="single"/>
        </w:rPr>
      </w:r>
    </w:p>
    <w:p>
      <w:pPr>
        <w:pStyle w:val="Normal"/>
        <w:jc w:val="center"/>
        <w:rPr>
          <w:sz w:val="24"/>
          <w:szCs w:val="24"/>
          <w:u w:val="single"/>
        </w:rPr>
      </w:pPr>
      <w:r>
        <w:rPr>
          <w:sz w:val="24"/>
          <w:szCs w:val="24"/>
          <w:u w:val="single"/>
        </w:rPr>
      </w:r>
    </w:p>
    <w:p>
      <w:pPr>
        <w:pStyle w:val="Normal"/>
        <w:jc w:val="both"/>
        <w:rPr>
          <w:sz w:val="24"/>
          <w:szCs w:val="24"/>
          <w:u w:val="single"/>
        </w:rPr>
      </w:pPr>
      <w:r>
        <w:rPr>
          <w:b/>
          <w:bCs/>
          <w:sz w:val="24"/>
          <w:szCs w:val="24"/>
          <w:u w:val="single"/>
        </w:rPr>
        <w:t>Example 1:</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purchases 1817 MW from IP and Enron reserves daily TVA transmission (on OASIS) to each of the Enron Control Areas in the following amounts:  631 MW ENSE, 593 MW ENCA, and 593 MW ENNA (example:  IP-TVA-ENSE and/or ENNA and/or ENCA).</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(as broken out by control area, above) of transmission with TVA on an etag. (IP-TVA-ENSE/ENNA/ENCA).</w:t>
      </w:r>
    </w:p>
    <w:p>
      <w:pPr>
        <w:pStyle w:val="Normal"/>
        <w:jc w:val="both"/>
        <w:rPr>
          <w:sz w:val="24"/>
          <w:szCs w:val="24"/>
        </w:rPr>
      </w:pPr>
      <w:r>
        <w:rPr>
          <w:sz w:val="24"/>
          <w:szCs w:val="24"/>
        </w:rPr>
      </w:r>
    </w:p>
    <w:p>
      <w:pPr>
        <w:pStyle w:val="Normal"/>
        <w:jc w:val="both"/>
        <w:rPr>
          <w:sz w:val="24"/>
          <w:szCs w:val="24"/>
        </w:rPr>
      </w:pPr>
      <w:r>
        <w:rPr>
          <w:sz w:val="24"/>
          <w:szCs w:val="24"/>
        </w:rPr>
        <w:t>Day of Flow:  Enron enters into the sale of 1817 MW to AEP and reserves TVA hourly or daily transmission (on OASIS) (ENSE/ENNA/ENCA-TVA-AEP).</w:t>
      </w:r>
    </w:p>
    <w:p>
      <w:pPr>
        <w:pStyle w:val="Normal"/>
        <w:jc w:val="both"/>
        <w:rPr>
          <w:sz w:val="24"/>
          <w:szCs w:val="24"/>
        </w:rPr>
      </w:pPr>
      <w:r>
        <w:rPr>
          <w:sz w:val="24"/>
          <w:szCs w:val="24"/>
        </w:rPr>
      </w:r>
    </w:p>
    <w:p>
      <w:pPr>
        <w:pStyle w:val="Normal"/>
        <w:jc w:val="both"/>
        <w:rPr>
          <w:sz w:val="24"/>
          <w:szCs w:val="24"/>
        </w:rPr>
      </w:pPr>
      <w:r>
        <w:rPr>
          <w:sz w:val="24"/>
          <w:szCs w:val="24"/>
        </w:rPr>
        <w:t>Day of Flow (20 minutes before the hour):  Enron submits revised/linked etags that identify the ultimate source and sink. (IP-TVA-ENSE/ENNA/ENCA-TVA-AEP).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jc w:val="both"/>
        <w:rPr>
          <w:sz w:val="24"/>
          <w:szCs w:val="24"/>
        </w:rPr>
      </w:pPr>
      <w:r>
        <w:rPr>
          <w:sz w:val="24"/>
          <w:szCs w:val="24"/>
        </w:rPr>
        <w:t>Day of Flow:  Enron generates 1250 MW to sell to LGEE in the hourly market.  Enron reserves 1250 MW of hourly TVA transmission (on OASIS) and submits an etag 20 minutes before the hour.  (ENSE/ENCA/ENNA-TVA-LGEE).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TVA transmission (on OASIS) and submit an etag with ultimate source and sink (EES-TVA-ENSE/ENCA/ENNA-TVA-AEP).</w:t>
      </w:r>
    </w:p>
    <w:p>
      <w:pPr>
        <w:pStyle w:val="Normal"/>
        <w:jc w:val="both"/>
        <w:rPr>
          <w:b/>
          <w:bCs/>
          <w:sz w:val="24"/>
          <w:szCs w:val="24"/>
        </w:rPr>
      </w:pPr>
      <w:r>
        <w:rPr>
          <w:b/>
          <w:bCs/>
          <w:sz w:val="24"/>
          <w:szCs w:val="24"/>
        </w:rPr>
      </w:r>
    </w:p>
    <w:p>
      <w:pPr>
        <w:pStyle w:val="Normal"/>
        <w:jc w:val="both"/>
        <w:rPr>
          <w:sz w:val="24"/>
          <w:szCs w:val="24"/>
          <w:u w:val="single"/>
        </w:rPr>
      </w:pPr>
      <w:r>
        <w:rPr>
          <w:b/>
          <w:bCs/>
          <w:sz w:val="24"/>
          <w:szCs w:val="24"/>
          <w:u w:val="single"/>
        </w:rPr>
        <w:t>Example 2:</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sells 1817 MW to IP and Enron reserves 1817 MW of daily TVA transmission (on OASIS) from each of the Enron Control Areas in the following amounts:  631 MW ENSE, 593 MW ENCA, and 593 MW ENNA(example: ENSE and/or ENNA and/or ENCA-TVA-IP).</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(as broken out by control area, above) of transmission with TVA on an etag. (ENSE/ENNA/ENCA-TVA-IP).</w:t>
      </w:r>
    </w:p>
    <w:p>
      <w:pPr>
        <w:pStyle w:val="Normal"/>
        <w:jc w:val="both"/>
        <w:rPr>
          <w:sz w:val="24"/>
          <w:szCs w:val="24"/>
        </w:rPr>
      </w:pPr>
      <w:r>
        <w:rPr>
          <w:sz w:val="24"/>
          <w:szCs w:val="24"/>
        </w:rPr>
      </w:r>
    </w:p>
    <w:p>
      <w:pPr>
        <w:pStyle w:val="Normal"/>
        <w:jc w:val="both"/>
        <w:rPr>
          <w:sz w:val="24"/>
          <w:szCs w:val="24"/>
        </w:rPr>
      </w:pPr>
      <w:r>
        <w:rPr>
          <w:sz w:val="24"/>
          <w:szCs w:val="24"/>
        </w:rPr>
        <w:t>Day of Flow:  Enron can either do (1) or a combination of (1) and (2) on an hourly basis to fulfill the 1817 MW obligation to IP.  In addition, Enron could do (1) to fulfill IP obligation and enter into incremental hourly sales to other PSEs, pursuant to (2):</w:t>
      </w:r>
    </w:p>
    <w:p>
      <w:pPr>
        <w:pStyle w:val="Normal"/>
        <w:jc w:val="both"/>
        <w:rPr>
          <w:sz w:val="24"/>
          <w:szCs w:val="24"/>
        </w:rPr>
      </w:pPr>
      <w:r>
        <w:rPr>
          <w:sz w:val="24"/>
          <w:szCs w:val="24"/>
        </w:rPr>
      </w:r>
    </w:p>
    <w:p>
      <w:pPr>
        <w:pStyle w:val="Normal"/>
        <w:ind w:hanging="360" w:start="360" w:end="0"/>
        <w:jc w:val="both"/>
        <w:rPr>
          <w:sz w:val="24"/>
          <w:szCs w:val="24"/>
        </w:rPr>
      </w:pPr>
      <w:r>
        <w:rPr>
          <w:sz w:val="24"/>
          <w:szCs w:val="24"/>
        </w:rPr>
        <w:t>(1)</w:t>
        <w:tab/>
        <w:t>Day of Flow:  Enron enters into the purchase of 1817 MW from AEP and reserves TVA hourly or daily transmission (on OASIS) (AEP-TVA-ENSE/ENNA/ENCA).</w:t>
      </w:r>
    </w:p>
    <w:p>
      <w:pPr>
        <w:pStyle w:val="Normal"/>
        <w:jc w:val="both"/>
        <w:rPr>
          <w:sz w:val="24"/>
          <w:szCs w:val="24"/>
        </w:rPr>
      </w:pPr>
      <w:r>
        <w:rPr>
          <w:sz w:val="24"/>
          <w:szCs w:val="24"/>
        </w:rPr>
      </w:r>
    </w:p>
    <w:p>
      <w:pPr>
        <w:pStyle w:val="Normal"/>
        <w:ind w:start="360" w:end="0"/>
        <w:jc w:val="both"/>
        <w:rPr>
          <w:sz w:val="24"/>
          <w:szCs w:val="24"/>
        </w:rPr>
      </w:pPr>
      <w:r>
        <w:rPr>
          <w:sz w:val="24"/>
          <w:szCs w:val="24"/>
        </w:rPr>
        <w:t>Day of Flow (20 minutes before the hour):  Enron submits revised/linked etags that identify the ultimate source and sink. (AEP-TVA-ENSE/ENNA/ENCA-TVA-IP).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numPr>
          <w:ilvl w:val="0"/>
          <w:numId w:val="1"/>
        </w:numPr>
        <w:tabs>
          <w:tab w:val="clear" w:pos="720"/>
          <w:tab w:val="left" w:pos="0" w:leader="none"/>
        </w:tabs>
        <w:ind w:hanging="360" w:start="720" w:end="0"/>
        <w:jc w:val="both"/>
        <w:rPr>
          <w:sz w:val="24"/>
          <w:szCs w:val="24"/>
        </w:rPr>
      </w:pPr>
      <w:r>
        <w:rPr>
          <w:sz w:val="24"/>
          <w:szCs w:val="24"/>
        </w:rPr>
        <w:t>Day of Flow:  Enron generates 1250 MWs to fulfill the sale to IP (or another PSE on an incremental basis) in the hourly market.  Enron reserves 1250 MW of hourly TVA transmission (on OASIS) and submits an etag 20 minutes before the hour.  (ENSE/ENCA/ENNA-TVA-IP (or another PSE)).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TVA transmission (on OASIS) and submit an etag with ultimate source and sink (EES-TVA-ENSE/ENCA/ENNA-TVA-AEP).</w:t>
      </w:r>
    </w:p>
    <w:p>
      <w:pPr>
        <w:pStyle w:val="Normal"/>
        <w:jc w:val="both"/>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1999-10-01T13:09:00Z</dcterms:created>
  <dc:creator>appinst</dc:creator>
  <dc:description/>
  <dc:language>en-CA</dc:language>
  <cp:lastModifiedBy>appinst</cp:lastModifiedBy>
  <cp:lastPrinted>1999-10-01T11:15:00Z</cp:lastPrinted>
  <dcterms:modified xsi:type="dcterms:W3CDTF">1999-10-06T15:45:00Z</dcterms:modified>
  <cp:revision>11</cp:revision>
  <dc:subject/>
  <dc:title>Example of Implementation of SERC/TVA/Enron Agreement</dc:title>
</cp:coreProperties>
</file>