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Appendix</w:t>
      </w:r>
    </w:p>
    <w:p>
      <w:pPr>
        <w:pStyle w:val="Heading2"/>
        <w:ind w:hanging="0" w:start="0"/>
        <w:rPr/>
      </w:pPr>
      <w:r>
        <w:rPr/>
        <w:t>TDF Data Type Definitions (DTDs)</w:t>
      </w:r>
    </w:p>
    <w:p>
      <w:pPr>
        <w:pStyle w:val="Heading3"/>
        <w:ind w:hanging="0" w:start="0"/>
        <w:rPr/>
      </w:pPr>
      <w:r>
        <w:rPr/>
        <w:t>Datafeed_external.dtd</w:t>
      </w:r>
    </w:p>
    <w:p>
      <w:pPr>
        <w:pStyle w:val="Normal"/>
        <w:rPr/>
      </w:pPr>
      <w:r>
        <w:rPr/>
        <w:t>This DTD defines all the XML messages that will be received as part of a data update from the TDF server.  Remember that the TDF server sends only one update message at a time, and that it may contain any number of data updates for any of the five data types supported by TDF.  Also remember that each data update is encapsulated in a XMSG.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sz w:val="16"/>
          <w:highlight w:val="white"/>
        </w:rPr>
        <w:t>&lt;?xml version="1.0" encoding="UTF-8"?&gt;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XML-MESSAGE include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XMSG SYSTEM "xml_message.dtd"&gt;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00"/>
          <w:sz w:val="16"/>
          <w:highlight w:val="white"/>
        </w:rPr>
        <w:t>%XMSG;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The content in the XMSG should be one of the specified elements: 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Counterparty  </w:t>
        <w:tab/>
        <w:tab/>
        <w:tab/>
        <w:t xml:space="preserve">&lt;COUNTERPARTYDATA&gt; 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Product         </w:t>
        <w:tab/>
        <w:tab/>
        <w:tab/>
        <w:t xml:space="preserve">&lt;PRODUCTDATA&gt; 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>Transaction</w:t>
        <w:tab/>
        <w:tab/>
        <w:tab/>
        <w:tab/>
        <w:t xml:space="preserve">&lt;TRANSACTIONDATA&gt; 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Product Type </w:t>
        <w:tab/>
        <w:tab/>
        <w:tab/>
        <w:t xml:space="preserve">&lt;PRODUCTTYPEDATA&gt; 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>ServerKey                        &lt;SERVERKEY&gt;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common entities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UNSIGNEDNUMBER represents the non-negative integers.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UNSIGNEDNUMBER 'CDATA'&gt;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BOOLEAN '(TRUE | FALSE)'&gt;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FLOAT represents 32bit doubles.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FLOAT 'CDATA'&gt;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TIMESTAMP is the difference in milliseconds between current time and midnight 1 Jan 1970 UTC.  This will always be consistent with the JAVA standard.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TIMESTAMP %UNSIGNEDNUMBER;&gt;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DATESTAMP is time in YYYYMMDDHHMISS in 24 hr format.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DATESTAMP %UNSIGNEDNUMBER;&gt;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entitie for counterparty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CPTYPE - counterparty types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B - Broker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 - Exchange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S - Subscriber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N - Normal 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CPTYPE "(B | E | N | S)"&gt;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entity for transactions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BIDSELL perspective defined by use case.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B - buy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S - sell 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&lt;!ENTITY % BUYSELL '(B | S)'&gt;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UPDATE a set of data to update a client/cache with.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UPDATE (COUNTERPARTYDATA* | TRANSACTIONDATA* | PRODUCTDATA* | | PRODUCTTYPEDATA*)&gt;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UPDATE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LASTUPDATETIME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LASTSENDTIME %UNSIGNEDNUMBER; #REQUIRED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COUNTERPARTY (datafeed_cp.dtd)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COUNTERPARTYDATA (CP?)&gt;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CP is the Counter Party Static Information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CPID - id of counterparty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TYPE - counterparty type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NAME - counterparty name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GRP - group name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CONTRACTGID - contract global id 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CP EMPTY&gt;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CP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CPID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TYPE %CPTYPE;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NAME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GRP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CONTRACTGID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TIME %TIMESTAMP; #REQUIRED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PRODUCT (datafeed_product.dtd)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PRODUCTDATA (PD*)&gt;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PD is 'typical' Product Data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PD EMPTY&gt;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PID - Product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TYPEID - Product type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TERM - Term in months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STARTDTM - Start datetime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ENDDTM - End datetime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REFTOKENDESC - Reference period tokenization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MONF - Monday delivery flag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TUEF - Tuesday delivery flag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WEDF - Wednesday delivery flag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THURF - Thursday delivery flag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FRIF - Friday delivery flag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HOLIDAYF - Holiday flag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INDEXDESC - Index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INDEXID - RateServer handle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INDEXCD - Index publication code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(the following fields were removed from previous versions)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VUOMGDI - Volume UOM Global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VUOMDESC - Volume UOM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CURRGID - Offered Currency Global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CURRDESC - Offered Currency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UCURRGID - Underlying currency Global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UCURRDESC - Underlying currency description 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PD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PID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TYPEID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TERM %FLOAT;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STARTDTM %DATESTAMP;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ENDDTM %DATESTAMP;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REFTOKENDESC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MONF %BOOLEAN;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TUEF %BOOLEAN;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WEDF %BOOLEAN;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THURF %BOOLEAN;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FRIF %BOOLEAN;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HOLIDAYF %BOOLEAN;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INDEXDESC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INDEXID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INDEXCD CDATA #REQUIRED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TRANSACTIONS datafeed_txn.dtd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TRANSACTIONDATA (TXN*)&gt;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TID - EnronOnline internal transaction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PID </w:t>
        <w:tab/>
        <w:t xml:space="preserve">- Product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TP - Transaction price in units of QUOTEDCURDESC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TV - Transaction quantity in units of VOLUOMDESC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TDTM - Transaction execution datetime from EnronOnline's perspective returned in requested timezone (if no timezone is specified, return in  requester's default timezone)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EU - External user in trade who executed transaction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ECPID - External counterparty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ITU -  Internal marketer for product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RPDESC - Short description with appropriate reference period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BO -   Buy/Sell code - from ITU perspective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BROKERID -  id of broker trading on behalf of a counterparty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TRADEID - Common transaction or trade id when txn generates more than one base txn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COREPID - Core product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EXTTRADEID - External Trade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(the following fields were removed from previous versions)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EXTID - transaction id wrt external counterparty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TXNTYPE - indicates whether external counterparty is either buying from (B) or selling to (S) EnronOnline.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TXNTIME - time at which transaction was executed from EnronOnline's perspective returned in requested timezone (if no timezone is specified, returned in requester's default timezone)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USER - external user which executed transaction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ISOCTYCD - ISO country code specified in document ISO 3166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STARTTIME - product's delivery start date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ENDTIME - product's delivery end date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CPID - id of counterparty wrt a given transaction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>ERRMSG - Failure message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ORDERID %UNSIGNEDNUMBER; #IMPLIED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TTIME CDATA #IMPLIED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STATUS %BOOLEAN; #REQUIRED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EXETIME %DATESTAMP; #IMPLIED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ENDTIME CDATA #IMPLIED 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TXN EMPTY&gt;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TXN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PID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TP %FLOAT;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TV %FLOAT;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TDTM %DATESTAMP;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EU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ECPID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ITU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RPDESC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BO %BUYSELL;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BROKERID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TRADEID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COREPID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EXTTRADEID CDATA #REQUIRED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Product Type (datafeed_product_type.dtd)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PRODUCTTYPEDATA (PT*)&gt;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PT is Product Type data 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PT EMPTY&gt;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 xml:space="preserve">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>TYPEID</w:t>
        <w:tab/>
        <w:t xml:space="preserve">- Product type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CGID - Commodity Global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CDESC - Commodity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FIRMGID - Firmness Global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FIRMDESC - Firmness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TERMGID - Term type Global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TERMDESC - Term type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REGIONDESC - Region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CTYDESC - Country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ISOCTYCD - ISO Country Code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QLTYDESC - Quality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PCATDESC - Product category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DTYPEGCD - Deal type Global code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DTYPEDESC - Deal type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TZGCD </w:t>
        <w:tab/>
        <w:t xml:space="preserve">- Timezone Global code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TZDESC - Timezone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LOCDESC - Location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PIPECD - GFD pipe code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ZONECD - GFD zone code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FACCD - GFD facilities number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OTYPEDESC- Option type description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GTIME - Time this data message was generated by its producer. 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(the following fields were removed from previous versions)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FREQGID - Frequency Global id 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FREQDESC - Frequency description 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PT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TYPEID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CGID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CDESC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FIRMGID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FIRMDESC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TERMGID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TERMDESC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REGIONDESC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CTYDESC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ISOCTYCD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QLTYDESC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PCATDESC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DTYPEGCD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DTYPEDESC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TZGCD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TZDESC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LOCDESC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PIPECD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ZONECD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FACCD %UNSIGNEDNUMBER;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OTYPEDESC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GTIME %TIMESTAMP; #REQUIRED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Secure key for requests between client and server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     </w:t>
      </w:r>
      <w:r>
        <w:rPr>
          <w:color w:val="808080"/>
          <w:sz w:val="16"/>
          <w:highlight w:val="white"/>
        </w:rPr>
        <w:t>SubscriberID - The Id of the subscriber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     </w:t>
      </w:r>
      <w:r>
        <w:rPr>
          <w:color w:val="808080"/>
          <w:sz w:val="16"/>
          <w:highlight w:val="white"/>
        </w:rPr>
        <w:t>Key - The Secure Key returned by server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SERVERKEY EMPTY&gt;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The secure server key for the subscriber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SERVERKEY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SUBSCRIBERID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LICENSEKEY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KEY CDATA #REQUIRED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Heartbeat message from client to server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    </w:t>
      </w:r>
      <w:r>
        <w:rPr>
          <w:color w:val="808080"/>
          <w:sz w:val="16"/>
          <w:highlight w:val="white"/>
        </w:rPr>
        <w:t>SUBSCRIBERID - client subscriber ID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    </w:t>
      </w:r>
      <w:r>
        <w:rPr>
          <w:color w:val="808080"/>
          <w:sz w:val="16"/>
          <w:highlight w:val="white"/>
        </w:rPr>
        <w:t>KEY - client session key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HEARTBEAT EMPTY&gt;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HEARTBEAT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SUBSCRIBERID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KEY CDATA #REQUIRED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&gt;</w:t>
      </w:r>
    </w:p>
    <w:p>
      <w:pPr>
        <w:pStyle w:val="Normal"/>
        <w:ind w:start="720" w:end="446"/>
        <w:rPr/>
      </w:pPr>
      <w:r>
        <w:rPr>
          <w:color w:val="0000FF"/>
          <w:sz w:val="16"/>
          <w:highlight w:val="white"/>
        </w:rPr>
        <w:t>&lt;!--</w:t>
      </w:r>
      <w:r>
        <w:rPr>
          <w:color w:val="808080"/>
          <w:sz w:val="16"/>
          <w:highlight w:val="white"/>
        </w:rPr>
        <w:t>KILLSESSION message from DB to server</w:t>
      </w:r>
    </w:p>
    <w:p>
      <w:pPr>
        <w:pStyle w:val="Normal"/>
        <w:ind w:start="720" w:end="446"/>
        <w:rPr>
          <w:color w:val="80808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    </w:t>
      </w:r>
      <w:r>
        <w:rPr>
          <w:color w:val="808080"/>
          <w:sz w:val="16"/>
          <w:highlight w:val="white"/>
        </w:rPr>
        <w:t>SUBSCRIBERID - client subscriber ID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808080"/>
          <w:sz w:val="16"/>
          <w:highlight w:val="white"/>
        </w:rPr>
        <w:t xml:space="preserve">    </w:t>
      </w:r>
      <w:r>
        <w:rPr>
          <w:color w:val="808080"/>
          <w:sz w:val="16"/>
          <w:highlight w:val="white"/>
        </w:rPr>
        <w:t>SESSIONID - client session id</w:t>
      </w:r>
      <w:r>
        <w:rPr>
          <w:color w:val="0000FF"/>
          <w:sz w:val="16"/>
          <w:highlight w:val="white"/>
        </w:rPr>
        <w:t>--&gt;</w:t>
      </w:r>
    </w:p>
    <w:p>
      <w:pPr>
        <w:pStyle w:val="Normal"/>
        <w:ind w:start="720" w:end="446"/>
        <w:rPr>
          <w:color w:val="000000"/>
          <w:sz w:val="16"/>
          <w:highlight w:val="white"/>
        </w:rPr>
      </w:pPr>
      <w:r>
        <w:rPr>
          <w:color w:val="000080"/>
          <w:sz w:val="16"/>
          <w:highlight w:val="white"/>
        </w:rPr>
        <w:t>&lt;!ELEMENT KILLSESSION EMPTY&gt;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>&lt;!ATTLIST KILLSESSION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SUBSCRIBERID CDATA #REQUIRED</w:t>
      </w:r>
    </w:p>
    <w:p>
      <w:pPr>
        <w:pStyle w:val="Normal"/>
        <w:ind w:start="720" w:end="446"/>
        <w:rPr>
          <w:color w:val="000080"/>
          <w:sz w:val="16"/>
          <w:highlight w:val="white"/>
        </w:rPr>
      </w:pPr>
      <w:r>
        <w:rPr>
          <w:color w:val="000080"/>
          <w:sz w:val="16"/>
          <w:highlight w:val="white"/>
        </w:rPr>
        <w:tab/>
        <w:t>SESSIONID CDATA #REQUIRED</w:t>
      </w:r>
    </w:p>
    <w:p>
      <w:pPr>
        <w:pStyle w:val="Normal"/>
        <w:ind w:start="720" w:end="446"/>
        <w:rPr>
          <w:sz w:val="16"/>
          <w:highlight w:val="white"/>
        </w:rPr>
      </w:pPr>
      <w:r>
        <w:rPr>
          <w:sz w:val="16"/>
          <w:highlight w:val="white"/>
        </w:rPr>
        <w:t>&gt;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Unicode MS">
    <w:charset w:val="80"/>
    <w:family w:val="swiss"/>
    <w:pitch w:val="variable"/>
  </w:font>
  <w:font w:name="Tahoma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8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324"/>
      <w:gridCol w:w="3162"/>
    </w:tblGrid>
    <w:tr>
      <w:trPr/>
      <w:tc>
        <w:tcPr>
          <w:tcW w:w="6324" w:type="dxa"/>
          <w:tcBorders/>
        </w:tcPr>
        <w:p>
          <w:pPr>
            <w:pStyle w:val="Normal"/>
            <w:rPr/>
          </w:pPr>
          <w:r>
            <w:rPr>
              <w:rFonts w:eastAsia="Symbol" w:cs="Symbol" w:ascii="Symbol" w:hAnsi="Symbol"/>
            </w:rPr>
            <w:sym w:font="Symbol" w:char="f0d3"/>
          </w:r>
          <w:r>
            <w:rPr/>
            <w:t xml:space="preserve"> </w:t>
          </w:r>
          <w:r>
            <w:rPr/>
            <w:t>2001 Enron Corp., All Rights Reserved</w:t>
          </w:r>
        </w:p>
      </w:tc>
      <w:tc>
        <w:tcPr>
          <w:tcW w:w="3162" w:type="dxa"/>
          <w:tcBorders/>
        </w:tcPr>
        <w:p>
          <w:pPr>
            <w:pStyle w:val="Normal"/>
            <w:jc w:val="end"/>
            <w:rPr/>
          </w:pPr>
          <w:r>
            <w:rPr/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5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5</w:t>
          </w:r>
          <w:r>
            <w:rPr>
              <w:rStyle w:val="PageNumber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5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379"/>
      <w:gridCol w:w="3179"/>
    </w:tblGrid>
    <w:tr>
      <w:trPr/>
      <w:tc>
        <w:tcPr>
          <w:tcW w:w="6379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/>
          </w:pPr>
          <w:r>
            <w:rPr/>
            <w:fldChar w:fldCharType="begin"/>
          </w:r>
          <w:r>
            <w:rPr/>
            <w:instrText xml:space="preserve"> SUBJECT </w:instrText>
          </w:r>
          <w:r>
            <w:rPr/>
            <w:fldChar w:fldCharType="separate"/>
          </w:r>
          <w:r>
            <w:rPr/>
            <w:t>EnronOnline TDF Users Guide</w:t>
          </w:r>
          <w:r>
            <w:rPr/>
            <w:fldChar w:fldCharType="end"/>
          </w:r>
        </w:p>
      </w:tc>
      <w:tc>
        <w:tcPr>
          <w:tcW w:w="3179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135" w:leader="none"/>
            </w:tabs>
            <w:spacing w:before="40" w:after="0"/>
            <w:ind w:end="68"/>
            <w:rPr/>
          </w:pPr>
          <w:r>
            <w:rPr/>
            <w:t xml:space="preserve">  </w:t>
          </w:r>
          <w:r>
            <w:rPr/>
            <w:t>Version:           1.3</w:t>
          </w:r>
        </w:p>
      </w:tc>
    </w:tr>
    <w:tr>
      <w:trPr/>
      <w:tc>
        <w:tcPr>
          <w:tcW w:w="6379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/>
          </w:pPr>
          <w:r>
            <w:rPr/>
            <w:t>External Interface Document</w:t>
          </w:r>
        </w:p>
      </w:tc>
      <w:tc>
        <w:tcPr>
          <w:tcW w:w="3179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/>
          </w:pPr>
          <w:r>
            <w:rPr/>
            <w:t xml:space="preserve">  </w:t>
          </w:r>
          <w:r>
            <w:rPr/>
            <w:t>Date:  06 June 2001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?%1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tLeast" w:line="24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6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Heading1"/>
    <w:next w:val="Normal"/>
    <w:qFormat/>
    <w:pPr>
      <w:numPr>
        <w:ilvl w:val="2"/>
        <w:numId w:val="1"/>
      </w:numPr>
      <w:outlineLvl w:val="2"/>
    </w:pPr>
    <w:rPr>
      <w:b w:val="false"/>
      <w:i/>
      <w:sz w:val="20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outlineLvl w:val="3"/>
    </w:pPr>
    <w:rPr>
      <w:b w:val="false"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8z0">
    <w:name w:val="WW8Num18z0"/>
    <w:qFormat/>
    <w:rPr>
      <w:rFonts w:ascii="Symbol" w:hAnsi="Symbol" w:eastAsia="Times New Roman" w:cs="Courier New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sz w:val="20"/>
    </w:rPr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8z0">
    <w:name w:val="WW8Num48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8z0">
    <w:name w:val="WW8Num68z0"/>
    <w:qFormat/>
    <w:rPr/>
  </w:style>
  <w:style w:type="character" w:styleId="WW8Num69z1">
    <w:name w:val="WW8Num69z1"/>
    <w:qFormat/>
    <w:rPr/>
  </w:style>
  <w:style w:type="character" w:styleId="WW8Num71z0">
    <w:name w:val="WW8Num71z0"/>
    <w:qFormat/>
    <w:rPr/>
  </w:style>
  <w:style w:type="character" w:styleId="WW8Num73z0">
    <w:name w:val="WW8Num73z0"/>
    <w:qFormat/>
    <w:rPr>
      <w:rFonts w:ascii="Symbol" w:hAnsi="Symbol" w:cs="Symbol"/>
    </w:rPr>
  </w:style>
  <w:style w:type="character" w:styleId="WW8Num75z0">
    <w:name w:val="WW8Num75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8z0">
    <w:name w:val="WW8Num88z0"/>
    <w:qFormat/>
    <w:rPr/>
  </w:style>
  <w:style w:type="character" w:styleId="WW8Num89z0">
    <w:name w:val="WW8Num89z0"/>
    <w:qFormat/>
    <w:rPr/>
  </w:style>
  <w:style w:type="character" w:styleId="WW8Num90z0">
    <w:name w:val="WW8Num90z0"/>
    <w:qFormat/>
    <w:rPr>
      <w:rFonts w:ascii="Wingdings" w:hAnsi="Wingdings" w:cs="Wingdings"/>
    </w:rPr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9z0">
    <w:name w:val="WW8Num99z0"/>
    <w:qFormat/>
    <w:rPr>
      <w:rFonts w:ascii="Symbol" w:hAnsi="Symbol" w:cs="Symbol"/>
    </w:rPr>
  </w:style>
  <w:style w:type="character" w:styleId="WW8Num99z1">
    <w:name w:val="WW8Num99z1"/>
    <w:qFormat/>
    <w:rPr>
      <w:rFonts w:ascii="Courier New" w:hAnsi="Courier New" w:cs="Courier New"/>
    </w:rPr>
  </w:style>
  <w:style w:type="character" w:styleId="WW8Num99z2">
    <w:name w:val="WW8Num99z2"/>
    <w:qFormat/>
    <w:rPr>
      <w:rFonts w:ascii="Wingdings" w:hAnsi="Wingdings" w:cs="Wingdings"/>
    </w:rPr>
  </w:style>
  <w:style w:type="character" w:styleId="WW8Num101z0">
    <w:name w:val="WW8Num101z0"/>
    <w:qFormat/>
    <w:rPr>
      <w:rFonts w:ascii="Wingdings" w:hAnsi="Wingdings" w:cs="Wingdings"/>
    </w:rPr>
  </w:style>
  <w:style w:type="character" w:styleId="WW8Num101z1">
    <w:name w:val="WW8Num101z1"/>
    <w:qFormat/>
    <w:rPr>
      <w:rFonts w:ascii="Courier New" w:hAnsi="Courier New" w:cs="Courier New"/>
    </w:rPr>
  </w:style>
  <w:style w:type="character" w:styleId="WW8Num101z3">
    <w:name w:val="WW8Num101z3"/>
    <w:qFormat/>
    <w:rPr>
      <w:rFonts w:ascii="Symbol" w:hAnsi="Symbol" w:cs="Symbol"/>
    </w:rPr>
  </w:style>
  <w:style w:type="character" w:styleId="WW8Num106z0">
    <w:name w:val="WW8Num106z0"/>
    <w:qFormat/>
    <w:rPr/>
  </w:style>
  <w:style w:type="character" w:styleId="WW8Num107z0">
    <w:name w:val="WW8Num107z0"/>
    <w:qFormat/>
    <w:rPr>
      <w:rFonts w:ascii="Symbol" w:hAnsi="Symbol" w:cs="Symbol"/>
    </w:rPr>
  </w:style>
  <w:style w:type="character" w:styleId="WW8Num107z1">
    <w:name w:val="WW8Num107z1"/>
    <w:qFormat/>
    <w:rPr>
      <w:rFonts w:ascii="Courier New" w:hAnsi="Courier New" w:cs="Courier New"/>
    </w:rPr>
  </w:style>
  <w:style w:type="character" w:styleId="WW8Num107z2">
    <w:name w:val="WW8Num107z2"/>
    <w:qFormat/>
    <w:rPr>
      <w:rFonts w:ascii="Wingdings" w:hAnsi="Wingdings" w:cs="Wingdings"/>
    </w:rPr>
  </w:style>
  <w:style w:type="character" w:styleId="WW8Num110z0">
    <w:name w:val="WW8Num110z0"/>
    <w:qFormat/>
    <w:rPr/>
  </w:style>
  <w:style w:type="character" w:styleId="WW8Num112z0">
    <w:name w:val="WW8Num112z0"/>
    <w:qFormat/>
    <w:rPr>
      <w:rFonts w:ascii="Symbol" w:hAnsi="Symbol" w:cs="Symbol"/>
    </w:rPr>
  </w:style>
  <w:style w:type="character" w:styleId="WW8Num114z0">
    <w:name w:val="WW8Num114z0"/>
    <w:qFormat/>
    <w:rPr/>
  </w:style>
  <w:style w:type="character" w:styleId="WW8Num116z0">
    <w:name w:val="WW8Num116z0"/>
    <w:qFormat/>
    <w:rPr/>
  </w:style>
  <w:style w:type="character" w:styleId="WW8Num117z0">
    <w:name w:val="WW8Num117z0"/>
    <w:qFormat/>
    <w:rPr>
      <w:rFonts w:ascii="Symbol" w:hAnsi="Symbol" w:cs="Symbol"/>
    </w:rPr>
  </w:style>
  <w:style w:type="character" w:styleId="WW8Num117z1">
    <w:name w:val="WW8Num117z1"/>
    <w:qFormat/>
    <w:rPr>
      <w:rFonts w:ascii="Courier New" w:hAnsi="Courier New" w:cs="Courier New"/>
    </w:rPr>
  </w:style>
  <w:style w:type="character" w:styleId="WW8Num117z2">
    <w:name w:val="WW8Num117z2"/>
    <w:qFormat/>
    <w:rPr>
      <w:rFonts w:ascii="Wingdings" w:hAnsi="Wingdings" w:cs="Wingdings"/>
    </w:rPr>
  </w:style>
  <w:style w:type="character" w:styleId="WW8Num118z1">
    <w:name w:val="WW8Num118z1"/>
    <w:qFormat/>
    <w:rPr>
      <w:rFonts w:ascii="Courier New" w:hAnsi="Courier New" w:cs="Courier New"/>
    </w:rPr>
  </w:style>
  <w:style w:type="character" w:styleId="WW8Num118z2">
    <w:name w:val="WW8Num118z2"/>
    <w:qFormat/>
    <w:rPr>
      <w:rFonts w:ascii="Wingdings" w:hAnsi="Wingdings" w:cs="Wingdings"/>
    </w:rPr>
  </w:style>
  <w:style w:type="character" w:styleId="WW8Num118z3">
    <w:name w:val="WW8Num118z3"/>
    <w:qFormat/>
    <w:rPr>
      <w:rFonts w:ascii="Symbol" w:hAnsi="Symbol" w:cs="Symbol"/>
    </w:rPr>
  </w:style>
  <w:style w:type="character" w:styleId="WW8Num121z0">
    <w:name w:val="WW8Num121z0"/>
    <w:qFormat/>
    <w:rPr/>
  </w:style>
  <w:style w:type="character" w:styleId="WW8Num122z0">
    <w:name w:val="WW8Num122z0"/>
    <w:qFormat/>
    <w:rPr>
      <w:rFonts w:ascii="Wingdings" w:hAnsi="Wingdings" w:cs="Wingdings"/>
    </w:rPr>
  </w:style>
  <w:style w:type="character" w:styleId="WW8Num122z1">
    <w:name w:val="WW8Num122z1"/>
    <w:qFormat/>
    <w:rPr>
      <w:rFonts w:ascii="Courier New" w:hAnsi="Courier New" w:cs="Courier New"/>
    </w:rPr>
  </w:style>
  <w:style w:type="character" w:styleId="WW8Num122z3">
    <w:name w:val="WW8Num122z3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5z1">
    <w:name w:val="WW8Num125z1"/>
    <w:qFormat/>
    <w:rPr>
      <w:rFonts w:ascii="Courier New" w:hAnsi="Courier New" w:cs="Courier New"/>
    </w:rPr>
  </w:style>
  <w:style w:type="character" w:styleId="WW8Num125z2">
    <w:name w:val="WW8Num125z2"/>
    <w:qFormat/>
    <w:rPr>
      <w:rFonts w:ascii="Wingdings" w:hAnsi="Wingdings" w:cs="Wingdings"/>
    </w:rPr>
  </w:style>
  <w:style w:type="character" w:styleId="WW8Num126z0">
    <w:name w:val="WW8Num126z0"/>
    <w:qFormat/>
    <w:rPr/>
  </w:style>
  <w:style w:type="character" w:styleId="WW8Num127z0">
    <w:name w:val="WW8Num127z0"/>
    <w:qFormat/>
    <w:rPr/>
  </w:style>
  <w:style w:type="character" w:styleId="WW8Num130z0">
    <w:name w:val="WW8Num130z0"/>
    <w:qFormat/>
    <w:rPr>
      <w:rFonts w:ascii="Arial" w:hAnsi="Arial" w:cs="Arial"/>
      <w:b w:val="false"/>
      <w:i w:val="false"/>
      <w:sz w:val="20"/>
    </w:rPr>
  </w:style>
  <w:style w:type="character" w:styleId="WW8Num132z0">
    <w:name w:val="WW8Num132z0"/>
    <w:qFormat/>
    <w:rPr/>
  </w:style>
  <w:style w:type="character" w:styleId="WW8Num133z0">
    <w:name w:val="WW8Num133z0"/>
    <w:qFormat/>
    <w:rPr/>
  </w:style>
  <w:style w:type="character" w:styleId="WW8Num133z1">
    <w:name w:val="WW8Num133z1"/>
    <w:qFormat/>
    <w:rPr>
      <w:rFonts w:ascii="Times New Roman" w:hAnsi="Times New Roman" w:eastAsia="Times New Roman" w:cs="Times New Roman"/>
    </w:rPr>
  </w:style>
  <w:style w:type="character" w:styleId="WW8Num134z0">
    <w:name w:val="WW8Num134z0"/>
    <w:qFormat/>
    <w:rPr>
      <w:rFonts w:ascii="Wingdings" w:hAnsi="Wingdings" w:cs="Wingdings"/>
    </w:rPr>
  </w:style>
  <w:style w:type="character" w:styleId="WW8Num135z0">
    <w:name w:val="WW8Num135z0"/>
    <w:qFormat/>
    <w:rPr/>
  </w:style>
  <w:style w:type="character" w:styleId="WW8Num136z0">
    <w:name w:val="WW8Num136z0"/>
    <w:qFormat/>
    <w:rPr>
      <w:rFonts w:ascii="Symbol" w:hAnsi="Symbol" w:cs="Symbol"/>
    </w:rPr>
  </w:style>
  <w:style w:type="character" w:styleId="WW8Num136z1">
    <w:name w:val="WW8Num136z1"/>
    <w:qFormat/>
    <w:rPr>
      <w:rFonts w:ascii="Courier New" w:hAnsi="Courier New" w:cs="Courier New"/>
    </w:rPr>
  </w:style>
  <w:style w:type="character" w:styleId="WW8Num136z2">
    <w:name w:val="WW8Num136z2"/>
    <w:qFormat/>
    <w:rPr>
      <w:rFonts w:ascii="Wingdings" w:hAnsi="Wingdings" w:cs="Wingdings"/>
    </w:rPr>
  </w:style>
  <w:style w:type="character" w:styleId="WW8Num140z0">
    <w:name w:val="WW8Num140z0"/>
    <w:qFormat/>
    <w:rPr/>
  </w:style>
  <w:style w:type="character" w:styleId="WW8Num141z0">
    <w:name w:val="WW8Num141z0"/>
    <w:qFormat/>
    <w:rPr/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/>
  </w:style>
  <w:style w:type="character" w:styleId="WW8Num147z0">
    <w:name w:val="WW8Num147z0"/>
    <w:qFormat/>
    <w:rPr/>
  </w:style>
  <w:style w:type="character" w:styleId="WW8Num148z0">
    <w:name w:val="WW8Num148z0"/>
    <w:qFormat/>
    <w:rPr>
      <w:rFonts w:ascii="Symbol" w:hAnsi="Symbol" w:cs="Symbol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1z1">
    <w:name w:val="WW8Num151z1"/>
    <w:qFormat/>
    <w:rPr>
      <w:rFonts w:ascii="Courier New" w:hAnsi="Courier New" w:cs="Courier New"/>
    </w:rPr>
  </w:style>
  <w:style w:type="character" w:styleId="WW8Num151z2">
    <w:name w:val="WW8Num151z2"/>
    <w:qFormat/>
    <w:rPr>
      <w:rFonts w:ascii="Wingdings" w:hAnsi="Wingdings" w:cs="Wingdings"/>
    </w:rPr>
  </w:style>
  <w:style w:type="character" w:styleId="WW8Num153z1">
    <w:name w:val="WW8Num153z1"/>
    <w:qFormat/>
    <w:rPr/>
  </w:style>
  <w:style w:type="character" w:styleId="WW8Num155z0">
    <w:name w:val="WW8Num155z0"/>
    <w:qFormat/>
    <w:rPr>
      <w:rFonts w:ascii="Wingdings" w:hAnsi="Wingdings" w:cs="Wingdings"/>
    </w:rPr>
  </w:style>
  <w:style w:type="character" w:styleId="WW8Num155z1">
    <w:name w:val="WW8Num155z1"/>
    <w:qFormat/>
    <w:rPr>
      <w:rFonts w:ascii="Courier New" w:hAnsi="Courier New" w:cs="Courier New"/>
    </w:rPr>
  </w:style>
  <w:style w:type="character" w:styleId="WW8Num155z3">
    <w:name w:val="WW8Num155z3"/>
    <w:qFormat/>
    <w:rPr>
      <w:rFonts w:ascii="Symbol" w:hAnsi="Symbol" w:cs="Symbol"/>
    </w:rPr>
  </w:style>
  <w:style w:type="character" w:styleId="WW8Num156z0">
    <w:name w:val="WW8Num156z0"/>
    <w:qFormat/>
    <w:rPr/>
  </w:style>
  <w:style w:type="character" w:styleId="WW8Num157z0">
    <w:name w:val="WW8Num157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2z1">
    <w:name w:val="WW8Num162z1"/>
    <w:qFormat/>
    <w:rPr/>
  </w:style>
  <w:style w:type="character" w:styleId="WW8Num164z0">
    <w:name w:val="WW8Num164z0"/>
    <w:qFormat/>
    <w:rPr/>
  </w:style>
  <w:style w:type="character" w:styleId="WW8Num165z0">
    <w:name w:val="WW8Num165z0"/>
    <w:qFormat/>
    <w:rPr>
      <w:rFonts w:ascii="Symbol" w:hAnsi="Symbol" w:cs="Symbol"/>
    </w:rPr>
  </w:style>
  <w:style w:type="character" w:styleId="WW8Num167z0">
    <w:name w:val="WW8Num167z0"/>
    <w:qFormat/>
    <w:rPr>
      <w:rFonts w:ascii="Wingdings" w:hAnsi="Wingdings" w:cs="Wingdings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4z0">
    <w:name w:val="WW8Num174z0"/>
    <w:qFormat/>
    <w:rPr>
      <w:rFonts w:ascii="Wingdings" w:hAnsi="Wingdings" w:cs="Wingdings"/>
    </w:rPr>
  </w:style>
  <w:style w:type="character" w:styleId="WW8Num174z1">
    <w:name w:val="WW8Num174z1"/>
    <w:qFormat/>
    <w:rPr>
      <w:rFonts w:ascii="Courier New" w:hAnsi="Courier New" w:cs="Courier New"/>
    </w:rPr>
  </w:style>
  <w:style w:type="character" w:styleId="WW8Num174z3">
    <w:name w:val="WW8Num174z3"/>
    <w:qFormat/>
    <w:rPr>
      <w:rFonts w:ascii="Symbol" w:hAnsi="Symbol" w:cs="Symbol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5z1">
    <w:name w:val="WW8Num175z1"/>
    <w:qFormat/>
    <w:rPr>
      <w:rFonts w:ascii="Courier New" w:hAnsi="Courier New" w:cs="Courier New"/>
    </w:rPr>
  </w:style>
  <w:style w:type="character" w:styleId="WW8Num175z2">
    <w:name w:val="WW8Num175z2"/>
    <w:qFormat/>
    <w:rPr>
      <w:rFonts w:ascii="Wingdings" w:hAnsi="Wingdings" w:cs="Wingdings"/>
    </w:rPr>
  </w:style>
  <w:style w:type="character" w:styleId="WW8Num179z0">
    <w:name w:val="WW8Num179z0"/>
    <w:qFormat/>
    <w:rPr>
      <w:rFonts w:ascii="Wingdings" w:hAnsi="Wingdings" w:cs="Wingdings"/>
    </w:rPr>
  </w:style>
  <w:style w:type="character" w:styleId="WW8Num180z0">
    <w:name w:val="WW8Num180z0"/>
    <w:qFormat/>
    <w:rPr>
      <w:rFonts w:ascii="Arial" w:hAnsi="Arial" w:cs="Arial"/>
      <w:b w:val="false"/>
      <w:i w:val="false"/>
      <w:sz w:val="20"/>
    </w:rPr>
  </w:style>
  <w:style w:type="character" w:styleId="WW8Num181z0">
    <w:name w:val="WW8Num181z0"/>
    <w:qFormat/>
    <w:rPr>
      <w:rFonts w:ascii="Arial" w:hAnsi="Arial" w:cs="Arial"/>
      <w:b w:val="false"/>
      <w:i w:val="false"/>
      <w:sz w:val="20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4z1">
    <w:name w:val="WW8Num184z1"/>
    <w:qFormat/>
    <w:rPr/>
  </w:style>
  <w:style w:type="character" w:styleId="WW8Num186z0">
    <w:name w:val="WW8Num186z0"/>
    <w:qFormat/>
    <w:rPr/>
  </w:style>
  <w:style w:type="character" w:styleId="WW8Num187z0">
    <w:name w:val="WW8Num187z0"/>
    <w:qFormat/>
    <w:rPr/>
  </w:style>
  <w:style w:type="character" w:styleId="WW8Num188z0">
    <w:name w:val="WW8Num188z0"/>
    <w:qFormat/>
    <w:rPr/>
  </w:style>
  <w:style w:type="character" w:styleId="WW8Num189z0">
    <w:name w:val="WW8Num189z0"/>
    <w:qFormat/>
    <w:rPr>
      <w:rFonts w:ascii="Wingdings" w:hAnsi="Wingdings" w:cs="Wingdings"/>
    </w:rPr>
  </w:style>
  <w:style w:type="character" w:styleId="WW8Num189z1">
    <w:name w:val="WW8Num189z1"/>
    <w:qFormat/>
    <w:rPr>
      <w:rFonts w:ascii="Courier New" w:hAnsi="Courier New" w:cs="Courier New"/>
    </w:rPr>
  </w:style>
  <w:style w:type="character" w:styleId="WW8Num189z3">
    <w:name w:val="WW8Num189z3"/>
    <w:qFormat/>
    <w:rPr>
      <w:rFonts w:ascii="Symbol" w:hAnsi="Symbol" w:cs="Symbol"/>
    </w:rPr>
  </w:style>
  <w:style w:type="character" w:styleId="WW8Num190z0">
    <w:name w:val="WW8Num190z0"/>
    <w:qFormat/>
    <w:rPr>
      <w:rFonts w:ascii="Wingdings" w:hAnsi="Wingdings" w:cs="Wingdings"/>
    </w:rPr>
  </w:style>
  <w:style w:type="character" w:styleId="WW8Num191z0">
    <w:name w:val="WW8Num191z0"/>
    <w:qFormat/>
    <w:rPr/>
  </w:style>
  <w:style w:type="character" w:styleId="WW8Num195z0">
    <w:name w:val="WW8Num195z0"/>
    <w:qFormat/>
    <w:rPr>
      <w:rFonts w:ascii="Symbol" w:hAnsi="Symbol" w:cs="Symbol"/>
    </w:rPr>
  </w:style>
  <w:style w:type="character" w:styleId="WW8Num197z0">
    <w:name w:val="WW8Num197z0"/>
    <w:qFormat/>
    <w:rPr/>
  </w:style>
  <w:style w:type="character" w:styleId="WW8Num198z0">
    <w:name w:val="WW8Num198z0"/>
    <w:qFormat/>
    <w:rPr>
      <w:rFonts w:ascii="Symbol" w:hAnsi="Symbol" w:cs="Symbol"/>
    </w:rPr>
  </w:style>
  <w:style w:type="character" w:styleId="WW8Num203z0">
    <w:name w:val="WW8Num203z0"/>
    <w:qFormat/>
    <w:rPr/>
  </w:style>
  <w:style w:type="character" w:styleId="WW8Num205z0">
    <w:name w:val="WW8Num205z0"/>
    <w:qFormat/>
    <w:rPr>
      <w:rFonts w:ascii="Wingdings" w:hAnsi="Wingdings" w:cs="Wingdings"/>
    </w:rPr>
  </w:style>
  <w:style w:type="character" w:styleId="WW8Num205z1">
    <w:name w:val="WW8Num205z1"/>
    <w:qFormat/>
    <w:rPr>
      <w:rFonts w:ascii="Courier New" w:hAnsi="Courier New" w:cs="Courier New"/>
    </w:rPr>
  </w:style>
  <w:style w:type="character" w:styleId="WW8Num205z3">
    <w:name w:val="WW8Num205z3"/>
    <w:qFormat/>
    <w:rPr>
      <w:rFonts w:ascii="Symbol" w:hAnsi="Symbol" w:cs="Symbol"/>
    </w:rPr>
  </w:style>
  <w:style w:type="character" w:styleId="WW8Num206z0">
    <w:name w:val="WW8Num206z0"/>
    <w:qFormat/>
    <w:rPr/>
  </w:style>
  <w:style w:type="character" w:styleId="WW8Num207z0">
    <w:name w:val="WW8Num207z0"/>
    <w:qFormat/>
    <w:rPr/>
  </w:style>
  <w:style w:type="character" w:styleId="WW8Num209z0">
    <w:name w:val="WW8Num209z0"/>
    <w:qFormat/>
    <w:rPr>
      <w:rFonts w:ascii="Wingdings" w:hAnsi="Wingdings" w:cs="Wingdings"/>
    </w:rPr>
  </w:style>
  <w:style w:type="character" w:styleId="WW8Num209z1">
    <w:name w:val="WW8Num209z1"/>
    <w:qFormat/>
    <w:rPr>
      <w:rFonts w:ascii="Courier New" w:hAnsi="Courier New" w:cs="Courier New"/>
    </w:rPr>
  </w:style>
  <w:style w:type="character" w:styleId="WW8Num209z3">
    <w:name w:val="WW8Num209z3"/>
    <w:qFormat/>
    <w:rPr>
      <w:rFonts w:ascii="Symbol" w:hAnsi="Symbol" w:cs="Symbol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5z0">
    <w:name w:val="WW8Num215z0"/>
    <w:qFormat/>
    <w:rPr/>
  </w:style>
  <w:style w:type="character" w:styleId="WW8Num216z0">
    <w:name w:val="WW8Num216z0"/>
    <w:qFormat/>
    <w:rPr>
      <w:rFonts w:ascii="Symbol" w:hAnsi="Symbol" w:cs="Symbol"/>
    </w:rPr>
  </w:style>
  <w:style w:type="character" w:styleId="WW8Num221z0">
    <w:name w:val="WW8Num221z0"/>
    <w:qFormat/>
    <w:rPr/>
  </w:style>
  <w:style w:type="character" w:styleId="WW8Num223z0">
    <w:name w:val="WW8Num223z0"/>
    <w:qFormat/>
    <w:rPr/>
  </w:style>
  <w:style w:type="character" w:styleId="WW8Num225z0">
    <w:name w:val="WW8Num225z0"/>
    <w:qFormat/>
    <w:rPr>
      <w:rFonts w:ascii="Wingdings" w:hAnsi="Wingdings" w:cs="Wingdings"/>
    </w:rPr>
  </w:style>
  <w:style w:type="character" w:styleId="WW8Num225z1">
    <w:name w:val="WW8Num225z1"/>
    <w:qFormat/>
    <w:rPr>
      <w:rFonts w:ascii="Courier New" w:hAnsi="Courier New" w:cs="Courier New"/>
    </w:rPr>
  </w:style>
  <w:style w:type="character" w:styleId="WW8Num225z3">
    <w:name w:val="WW8Num225z3"/>
    <w:qFormat/>
    <w:rPr>
      <w:rFonts w:ascii="Symbol" w:hAnsi="Symbol" w:cs="Symbol"/>
    </w:rPr>
  </w:style>
  <w:style w:type="character" w:styleId="WW8Num226z0">
    <w:name w:val="WW8Num226z0"/>
    <w:qFormat/>
    <w:rPr/>
  </w:style>
  <w:style w:type="character" w:styleId="WW8Num228z0">
    <w:name w:val="WW8Num228z0"/>
    <w:qFormat/>
    <w:rPr>
      <w:rFonts w:ascii="Symbol" w:hAnsi="Symbol" w:cs="Symbol"/>
    </w:rPr>
  </w:style>
  <w:style w:type="character" w:styleId="WW8Num232z0">
    <w:name w:val="WW8Num232z0"/>
    <w:qFormat/>
    <w:rPr>
      <w:rFonts w:ascii="Symbol" w:hAnsi="Symbol" w:cs="Symbol"/>
    </w:rPr>
  </w:style>
  <w:style w:type="character" w:styleId="WW8Num233z0">
    <w:name w:val="WW8Num233z0"/>
    <w:qFormat/>
    <w:rPr/>
  </w:style>
  <w:style w:type="character" w:styleId="WW8Num234z0">
    <w:name w:val="WW8Num234z0"/>
    <w:qFormat/>
    <w:rPr/>
  </w:style>
  <w:style w:type="character" w:styleId="WW8Num241z0">
    <w:name w:val="WW8Num241z0"/>
    <w:qFormat/>
    <w:rPr/>
  </w:style>
  <w:style w:type="character" w:styleId="WW8Num242z0">
    <w:name w:val="WW8Num242z0"/>
    <w:qFormat/>
    <w:rPr/>
  </w:style>
  <w:style w:type="character" w:styleId="WW8Num243z0">
    <w:name w:val="WW8Num243z0"/>
    <w:qFormat/>
    <w:rPr/>
  </w:style>
  <w:style w:type="character" w:styleId="WW8Num244z0">
    <w:name w:val="WW8Num244z0"/>
    <w:qFormat/>
    <w:rPr>
      <w:rFonts w:ascii="Arial" w:hAnsi="Arial" w:cs="Arial"/>
      <w:b w:val="false"/>
      <w:i w:val="false"/>
      <w:sz w:val="20"/>
    </w:rPr>
  </w:style>
  <w:style w:type="character" w:styleId="WW8Num245z0">
    <w:name w:val="WW8Num245z0"/>
    <w:qFormat/>
    <w:rPr/>
  </w:style>
  <w:style w:type="character" w:styleId="WW8Num252z0">
    <w:name w:val="WW8Num252z0"/>
    <w:qFormat/>
    <w:rPr/>
  </w:style>
  <w:style w:type="character" w:styleId="WW8Num256z0">
    <w:name w:val="WW8Num256z0"/>
    <w:qFormat/>
    <w:rPr/>
  </w:style>
  <w:style w:type="character" w:styleId="WW8Num259z0">
    <w:name w:val="WW8Num259z0"/>
    <w:qFormat/>
    <w:rPr/>
  </w:style>
  <w:style w:type="character" w:styleId="WW8Num263z0">
    <w:name w:val="WW8Num263z0"/>
    <w:qFormat/>
    <w:rPr/>
  </w:style>
  <w:style w:type="character" w:styleId="WW8Num268z0">
    <w:name w:val="WW8Num268z0"/>
    <w:qFormat/>
    <w:rPr/>
  </w:style>
  <w:style w:type="character" w:styleId="WW8Num271z0">
    <w:name w:val="WW8Num271z0"/>
    <w:qFormat/>
    <w:rPr/>
  </w:style>
  <w:style w:type="character" w:styleId="WW8Num273z0">
    <w:name w:val="WW8Num273z0"/>
    <w:qFormat/>
    <w:rPr/>
  </w:style>
  <w:style w:type="character" w:styleId="WW8Num277z0">
    <w:name w:val="WW8Num277z0"/>
    <w:qFormat/>
    <w:rPr/>
  </w:style>
  <w:style w:type="character" w:styleId="WW8Num282z0">
    <w:name w:val="WW8Num282z0"/>
    <w:qFormat/>
    <w:rPr/>
  </w:style>
  <w:style w:type="character" w:styleId="WW8Num283z0">
    <w:name w:val="WW8Num283z0"/>
    <w:qFormat/>
    <w:rPr>
      <w:b w:val="false"/>
    </w:rPr>
  </w:style>
  <w:style w:type="character" w:styleId="WW8Num285z0">
    <w:name w:val="WW8Num285z0"/>
    <w:qFormat/>
    <w:rPr>
      <w:rFonts w:ascii="Arial" w:hAnsi="Arial" w:cs="Arial"/>
      <w:b w:val="false"/>
      <w:i w:val="false"/>
      <w:sz w:val="20"/>
    </w:rPr>
  </w:style>
  <w:style w:type="character" w:styleId="WW8Num286z0">
    <w:name w:val="WW8Num286z0"/>
    <w:qFormat/>
    <w:rPr>
      <w:rFonts w:ascii="Symbol" w:hAnsi="Symbol" w:cs="Symbol"/>
    </w:rPr>
  </w:style>
  <w:style w:type="character" w:styleId="WW8Num286z1">
    <w:name w:val="WW8Num286z1"/>
    <w:qFormat/>
    <w:rPr>
      <w:rFonts w:ascii="Courier New" w:hAnsi="Courier New" w:cs="Courier New"/>
    </w:rPr>
  </w:style>
  <w:style w:type="character" w:styleId="WW8Num286z2">
    <w:name w:val="WW8Num286z2"/>
    <w:qFormat/>
    <w:rPr>
      <w:rFonts w:ascii="Wingdings" w:hAnsi="Wingdings" w:cs="Wingdings"/>
    </w:rPr>
  </w:style>
  <w:style w:type="character" w:styleId="WW8Num288z0">
    <w:name w:val="WW8Num288z0"/>
    <w:qFormat/>
    <w:rPr/>
  </w:style>
  <w:style w:type="character" w:styleId="WW8Num294z0">
    <w:name w:val="WW8Num294z0"/>
    <w:qFormat/>
    <w:rPr/>
  </w:style>
  <w:style w:type="character" w:styleId="WW8Num296z0">
    <w:name w:val="WW8Num296z0"/>
    <w:qFormat/>
    <w:rPr>
      <w:rFonts w:ascii="Symbol" w:hAnsi="Symbol" w:cs="Symbol"/>
    </w:rPr>
  </w:style>
  <w:style w:type="character" w:styleId="WW8Num297z0">
    <w:name w:val="WW8Num297z0"/>
    <w:qFormat/>
    <w:rPr/>
  </w:style>
  <w:style w:type="character" w:styleId="WW8Num299z0">
    <w:name w:val="WW8Num299z0"/>
    <w:qFormat/>
    <w:rPr/>
  </w:style>
  <w:style w:type="character" w:styleId="WW8Num300z0">
    <w:name w:val="WW8Num300z0"/>
    <w:qFormat/>
    <w:rPr>
      <w:rFonts w:ascii="Wingdings" w:hAnsi="Wingdings" w:cs="Wingdings"/>
    </w:rPr>
  </w:style>
  <w:style w:type="character" w:styleId="WW8Num303z0">
    <w:name w:val="WW8Num303z0"/>
    <w:qFormat/>
    <w:rPr/>
  </w:style>
  <w:style w:type="character" w:styleId="WW8Num304z0">
    <w:name w:val="WW8Num304z0"/>
    <w:qFormat/>
    <w:rPr>
      <w:rFonts w:ascii="Wingdings" w:hAnsi="Wingdings" w:cs="Wingdings"/>
    </w:rPr>
  </w:style>
  <w:style w:type="character" w:styleId="WW8Num304z1">
    <w:name w:val="WW8Num304z1"/>
    <w:qFormat/>
    <w:rPr>
      <w:rFonts w:ascii="Courier New" w:hAnsi="Courier New" w:cs="Courier New"/>
    </w:rPr>
  </w:style>
  <w:style w:type="character" w:styleId="WW8Num304z3">
    <w:name w:val="WW8Num304z3"/>
    <w:qFormat/>
    <w:rPr>
      <w:rFonts w:ascii="Symbol" w:hAnsi="Symbol" w:cs="Symbol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6z1">
    <w:name w:val="WW8Num306z1"/>
    <w:qFormat/>
    <w:rPr>
      <w:rFonts w:ascii="Courier New" w:hAnsi="Courier New" w:cs="Courier New"/>
    </w:rPr>
  </w:style>
  <w:style w:type="character" w:styleId="WW8Num306z2">
    <w:name w:val="WW8Num306z2"/>
    <w:qFormat/>
    <w:rPr>
      <w:rFonts w:ascii="Wingdings" w:hAnsi="Wingdings" w:cs="Wingdings"/>
    </w:rPr>
  </w:style>
  <w:style w:type="character" w:styleId="WW8Num307z0">
    <w:name w:val="WW8Num307z0"/>
    <w:qFormat/>
    <w:rPr/>
  </w:style>
  <w:style w:type="character" w:styleId="WW8Num308z0">
    <w:name w:val="WW8Num308z0"/>
    <w:qFormat/>
    <w:rPr/>
  </w:style>
  <w:style w:type="character" w:styleId="WW8Num310z0">
    <w:name w:val="WW8Num310z0"/>
    <w:qFormat/>
    <w:rPr>
      <w:rFonts w:ascii="Symbol" w:hAnsi="Symbol" w:cs="Symbol"/>
    </w:rPr>
  </w:style>
  <w:style w:type="character" w:styleId="WW8Num310z1">
    <w:name w:val="WW8Num310z1"/>
    <w:qFormat/>
    <w:rPr>
      <w:rFonts w:ascii="Courier New" w:hAnsi="Courier New" w:cs="Courier New"/>
    </w:rPr>
  </w:style>
  <w:style w:type="character" w:styleId="WW8Num310z2">
    <w:name w:val="WW8Num310z2"/>
    <w:qFormat/>
    <w:rPr>
      <w:rFonts w:ascii="Wingdings" w:hAnsi="Wingdings" w:cs="Wingdings"/>
    </w:rPr>
  </w:style>
  <w:style w:type="character" w:styleId="WW8Num313z0">
    <w:name w:val="WW8Num313z0"/>
    <w:qFormat/>
    <w:rPr>
      <w:rFonts w:ascii="Wingdings" w:hAnsi="Wingdings" w:cs="Wingdings"/>
    </w:rPr>
  </w:style>
  <w:style w:type="character" w:styleId="WW8Num313z1">
    <w:name w:val="WW8Num313z1"/>
    <w:qFormat/>
    <w:rPr>
      <w:rFonts w:ascii="Courier New" w:hAnsi="Courier New" w:cs="Courier New"/>
    </w:rPr>
  </w:style>
  <w:style w:type="character" w:styleId="WW8Num313z3">
    <w:name w:val="WW8Num313z3"/>
    <w:qFormat/>
    <w:rPr>
      <w:rFonts w:ascii="Symbol" w:hAnsi="Symbol" w:cs="Symbol"/>
    </w:rPr>
  </w:style>
  <w:style w:type="character" w:styleId="WW8Num314z0">
    <w:name w:val="WW8Num314z0"/>
    <w:qFormat/>
    <w:rPr/>
  </w:style>
  <w:style w:type="character" w:styleId="WW8Num316z0">
    <w:name w:val="WW8Num316z0"/>
    <w:qFormat/>
    <w:rPr>
      <w:rFonts w:ascii="Symbol" w:hAnsi="Symbol" w:cs="Symbol"/>
    </w:rPr>
  </w:style>
  <w:style w:type="character" w:styleId="WW8Num321z0">
    <w:name w:val="WW8Num321z0"/>
    <w:qFormat/>
    <w:rPr>
      <w:rFonts w:ascii="Wingdings" w:hAnsi="Wingdings" w:cs="Wingdings"/>
    </w:rPr>
  </w:style>
  <w:style w:type="character" w:styleId="WW8Num324z0">
    <w:name w:val="WW8Num324z0"/>
    <w:qFormat/>
    <w:rPr/>
  </w:style>
  <w:style w:type="character" w:styleId="WW8Num331z0">
    <w:name w:val="WW8Num331z0"/>
    <w:qFormat/>
    <w:rPr>
      <w:rFonts w:ascii="Symbol" w:hAnsi="Symbol" w:cs="Symbol"/>
    </w:rPr>
  </w:style>
  <w:style w:type="character" w:styleId="WW8Num332z0">
    <w:name w:val="WW8Num332z0"/>
    <w:qFormat/>
    <w:rPr/>
  </w:style>
  <w:style w:type="character" w:styleId="WW8Num333z0">
    <w:name w:val="WW8Num333z0"/>
    <w:qFormat/>
    <w:rPr>
      <w:rFonts w:ascii="Arial" w:hAnsi="Arial" w:cs="Arial"/>
      <w:b w:val="false"/>
      <w:i w:val="false"/>
      <w:sz w:val="20"/>
    </w:rPr>
  </w:style>
  <w:style w:type="character" w:styleId="WW8Num334z0">
    <w:name w:val="WW8Num334z0"/>
    <w:qFormat/>
    <w:rPr>
      <w:rFonts w:ascii="Times New Roman" w:hAnsi="Times New Roman" w:eastAsia="Times New Roman" w:cs="Times New Roman"/>
    </w:rPr>
  </w:style>
  <w:style w:type="character" w:styleId="WW8Num334z1">
    <w:name w:val="WW8Num334z1"/>
    <w:qFormat/>
    <w:rPr>
      <w:rFonts w:ascii="Courier New" w:hAnsi="Courier New" w:cs="Courier New"/>
    </w:rPr>
  </w:style>
  <w:style w:type="character" w:styleId="WW8Num334z2">
    <w:name w:val="WW8Num334z2"/>
    <w:qFormat/>
    <w:rPr>
      <w:rFonts w:ascii="Wingdings" w:hAnsi="Wingdings" w:cs="Wingdings"/>
    </w:rPr>
  </w:style>
  <w:style w:type="character" w:styleId="WW8Num334z3">
    <w:name w:val="WW8Num334z3"/>
    <w:qFormat/>
    <w:rPr>
      <w:rFonts w:ascii="Symbol" w:hAnsi="Symbol" w:cs="Symbol"/>
    </w:rPr>
  </w:style>
  <w:style w:type="character" w:styleId="WW8Num335z0">
    <w:name w:val="WW8Num335z0"/>
    <w:qFormat/>
    <w:rPr/>
  </w:style>
  <w:style w:type="character" w:styleId="WW8Num338z0">
    <w:name w:val="WW8Num338z0"/>
    <w:qFormat/>
    <w:rPr>
      <w:rFonts w:ascii="Arial" w:hAnsi="Arial" w:cs="Arial"/>
      <w:b w:val="false"/>
      <w:i w:val="false"/>
      <w:sz w:val="20"/>
    </w:rPr>
  </w:style>
  <w:style w:type="character" w:styleId="WW8Num339z1">
    <w:name w:val="WW8Num339z1"/>
    <w:qFormat/>
    <w:rPr/>
  </w:style>
  <w:style w:type="character" w:styleId="WW8Num340z0">
    <w:name w:val="WW8Num340z0"/>
    <w:qFormat/>
    <w:rPr>
      <w:rFonts w:ascii="Symbol" w:hAnsi="Symbol" w:cs="Symbol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1z1">
    <w:name w:val="WW8Num341z1"/>
    <w:qFormat/>
    <w:rPr>
      <w:rFonts w:ascii="Courier New" w:hAnsi="Courier New" w:cs="Courier New"/>
    </w:rPr>
  </w:style>
  <w:style w:type="character" w:styleId="WW8Num341z2">
    <w:name w:val="WW8Num341z2"/>
    <w:qFormat/>
    <w:rPr>
      <w:rFonts w:ascii="Wingdings" w:hAnsi="Wingdings" w:cs="Wingdings"/>
    </w:rPr>
  </w:style>
  <w:style w:type="character" w:styleId="WW8Num344z0">
    <w:name w:val="WW8Num344z0"/>
    <w:qFormat/>
    <w:rPr>
      <w:rFonts w:ascii="Symbol" w:hAnsi="Symbol" w:cs="Symbol"/>
    </w:rPr>
  </w:style>
  <w:style w:type="character" w:styleId="WW8Num347z0">
    <w:name w:val="WW8Num347z0"/>
    <w:qFormat/>
    <w:rPr/>
  </w:style>
  <w:style w:type="character" w:styleId="WW8Num348z0">
    <w:name w:val="WW8Num348z0"/>
    <w:qFormat/>
    <w:rPr/>
  </w:style>
  <w:style w:type="character" w:styleId="WW8Num349z0">
    <w:name w:val="WW8Num349z0"/>
    <w:qFormat/>
    <w:rPr>
      <w:rFonts w:ascii="Arial" w:hAnsi="Arial" w:cs="Arial"/>
      <w:b w:val="false"/>
      <w:i w:val="false"/>
      <w:sz w:val="20"/>
    </w:rPr>
  </w:style>
  <w:style w:type="character" w:styleId="WW8Num350z0">
    <w:name w:val="WW8Num350z0"/>
    <w:qFormat/>
    <w:rPr>
      <w:rFonts w:ascii="Wingdings" w:hAnsi="Wingdings" w:cs="Wingdings"/>
    </w:rPr>
  </w:style>
  <w:style w:type="character" w:styleId="WW8Num350z1">
    <w:name w:val="WW8Num350z1"/>
    <w:qFormat/>
    <w:rPr>
      <w:rFonts w:ascii="Courier New" w:hAnsi="Courier New" w:cs="Courier New"/>
    </w:rPr>
  </w:style>
  <w:style w:type="character" w:styleId="WW8Num350z3">
    <w:name w:val="WW8Num350z3"/>
    <w:qFormat/>
    <w:rPr>
      <w:rFonts w:ascii="Symbol" w:hAnsi="Symbol" w:cs="Symbol"/>
    </w:rPr>
  </w:style>
  <w:style w:type="character" w:styleId="WW8Num364z0">
    <w:name w:val="WW8Num364z0"/>
    <w:qFormat/>
    <w:rPr>
      <w:rFonts w:ascii="Symbol" w:hAnsi="Symbol" w:cs="Symbol"/>
    </w:rPr>
  </w:style>
  <w:style w:type="character" w:styleId="WW8Num367z0">
    <w:name w:val="WW8Num367z0"/>
    <w:qFormat/>
    <w:rPr/>
  </w:style>
  <w:style w:type="character" w:styleId="WW8Num369z0">
    <w:name w:val="WW8Num369z0"/>
    <w:qFormat/>
    <w:rPr>
      <w:rFonts w:ascii="Symbol" w:hAnsi="Symbol" w:cs="Symbol"/>
    </w:rPr>
  </w:style>
  <w:style w:type="character" w:styleId="WW8Num369z1">
    <w:name w:val="WW8Num369z1"/>
    <w:qFormat/>
    <w:rPr>
      <w:rFonts w:ascii="Courier New" w:hAnsi="Courier New" w:cs="Courier New"/>
    </w:rPr>
  </w:style>
  <w:style w:type="character" w:styleId="WW8Num369z2">
    <w:name w:val="WW8Num369z2"/>
    <w:qFormat/>
    <w:rPr>
      <w:rFonts w:ascii="Wingdings" w:hAnsi="Wingdings" w:cs="Wingdings"/>
    </w:rPr>
  </w:style>
  <w:style w:type="character" w:styleId="WW8Num370z0">
    <w:name w:val="WW8Num370z0"/>
    <w:qFormat/>
    <w:rPr/>
  </w:style>
  <w:style w:type="character" w:styleId="WW8Num373z0">
    <w:name w:val="WW8Num373z0"/>
    <w:qFormat/>
    <w:rPr/>
  </w:style>
  <w:style w:type="character" w:styleId="WW8Num375z0">
    <w:name w:val="WW8Num375z0"/>
    <w:qFormat/>
    <w:rPr/>
  </w:style>
  <w:style w:type="character" w:styleId="WW8Num376z0">
    <w:name w:val="WW8Num376z0"/>
    <w:qFormat/>
    <w:rPr>
      <w:rFonts w:ascii="Symbol" w:hAnsi="Symbol" w:cs="Symbol"/>
    </w:rPr>
  </w:style>
  <w:style w:type="character" w:styleId="WW8Num376z1">
    <w:name w:val="WW8Num376z1"/>
    <w:qFormat/>
    <w:rPr>
      <w:rFonts w:ascii="Courier New" w:hAnsi="Courier New" w:cs="Courier New"/>
    </w:rPr>
  </w:style>
  <w:style w:type="character" w:styleId="WW8Num376z2">
    <w:name w:val="WW8Num376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7z0">
    <w:name w:val="WW8NumSt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HTMLCode">
    <w:name w:val="HTML Code"/>
    <w:basedOn w:val="DefaultParagraphFont"/>
    <w:qFormat/>
    <w:rPr>
      <w:rFonts w:ascii="Arial Unicode MS" w:hAnsi="Arial Unicode MS" w:eastAsia="Arial Unicode MS" w:cs="Arial Unicode MS"/>
      <w:sz w:val="20"/>
      <w:szCs w:val="20"/>
    </w:rPr>
  </w:style>
  <w:style w:type="paragraph" w:styleId="Heading">
    <w:name w:val="Heading"/>
    <w:basedOn w:val="Normal"/>
    <w:next w:val="Normal"/>
    <w:qFormat/>
    <w:pPr>
      <w:spacing w:lineRule="auto" w:line="240"/>
      <w:jc w:val="center"/>
    </w:pPr>
    <w:rPr>
      <w:rFonts w:ascii="Arial" w:hAnsi="Arial" w:cs="Arial"/>
      <w:b/>
      <w:sz w:val="36"/>
    </w:rPr>
  </w:style>
  <w:style w:type="paragraph" w:styleId="BodyText">
    <w:name w:val="Body Text"/>
    <w:basedOn w:val="Normal"/>
    <w:pPr>
      <w:keepLines/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aragraph2">
    <w:name w:val="Paragraph2"/>
    <w:basedOn w:val="Normal"/>
    <w:qFormat/>
    <w:pPr>
      <w:spacing w:before="80" w:after="0"/>
      <w:ind w:hanging="0" w:start="720" w:end="0"/>
      <w:jc w:val="both"/>
    </w:pPr>
    <w:rPr>
      <w:color w:val="000000"/>
      <w:lang w:val="en-AU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i/>
      <w:sz w:val="36"/>
      <w:lang w:val="en-AU"/>
    </w:rPr>
  </w:style>
  <w:style w:type="paragraph" w:styleId="NormalIndent">
    <w:name w:val="Normal Indent"/>
    <w:basedOn w:val="Normal"/>
    <w:qFormat/>
    <w:pPr>
      <w:ind w:hanging="900" w:start="900" w:end="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none"/>
      </w:tabs>
      <w:spacing w:before="240" w:after="6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none"/>
      </w:tabs>
      <w:ind w:hanging="0" w:start="432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450" w:leader="none"/>
        <w:tab w:val="left" w:pos="990" w:leader="none"/>
      </w:tabs>
    </w:pPr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1">
    <w:name w:val="Bullet1"/>
    <w:basedOn w:val="Normal"/>
    <w:qFormat/>
    <w:pPr>
      <w:numPr>
        <w:ilvl w:val="0"/>
        <w:numId w:val="3"/>
      </w:numPr>
      <w:ind w:hanging="432" w:start="720" w:end="0"/>
    </w:pPr>
    <w:rPr/>
  </w:style>
  <w:style w:type="paragraph" w:styleId="Bullet2">
    <w:name w:val="Bullet2"/>
    <w:basedOn w:val="Normal"/>
    <w:qFormat/>
    <w:pPr>
      <w:numPr>
        <w:ilvl w:val="0"/>
        <w:numId w:val="4"/>
      </w:numPr>
      <w:ind w:hanging="360" w:start="1440" w:end="0"/>
    </w:pPr>
    <w:rPr>
      <w:color w:val="000080"/>
    </w:rPr>
  </w:style>
  <w:style w:type="paragraph" w:styleId="Tabletext">
    <w:name w:val="Tabletext"/>
    <w:basedOn w:val="Normal"/>
    <w:qFormat/>
    <w:pPr>
      <w:keepLines/>
      <w:spacing w:before="0" w:after="12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>
      <w:keepNext w:val="true"/>
      <w:keepLines/>
      <w:pBdr>
        <w:bottom w:val="single" w:sz="6" w:space="0" w:color="000000"/>
      </w:pBdr>
      <w:spacing w:before="40" w:after="40"/>
      <w:ind w:hanging="360" w:start="360" w:end="0"/>
    </w:pPr>
    <w:rPr>
      <w:rFonts w:ascii="Helvetica" w:hAnsi="Helvetica" w:cs="Helvetica"/>
      <w:sz w:val="16"/>
    </w:rPr>
  </w:style>
  <w:style w:type="paragraph" w:styleId="MainTitle">
    <w:name w:val="Main Title"/>
    <w:basedOn w:val="Normal"/>
    <w:qFormat/>
    <w:pPr>
      <w:spacing w:lineRule="auto" w:line="240" w:before="480" w:after="60"/>
      <w:jc w:val="center"/>
    </w:pPr>
    <w:rPr>
      <w:rFonts w:ascii="Arial" w:hAnsi="Arial" w:cs="Arial"/>
      <w:b/>
      <w:kern w:val="2"/>
      <w:sz w:val="32"/>
    </w:rPr>
  </w:style>
  <w:style w:type="paragraph" w:styleId="Paragraph1">
    <w:name w:val="Paragraph1"/>
    <w:basedOn w:val="Normal"/>
    <w:qFormat/>
    <w:pPr>
      <w:spacing w:lineRule="auto" w:line="240" w:before="80" w:after="0"/>
      <w:jc w:val="both"/>
    </w:pPr>
    <w:rPr/>
  </w:style>
  <w:style w:type="paragraph" w:styleId="Paragraph3">
    <w:name w:val="Paragraph3"/>
    <w:basedOn w:val="Normal"/>
    <w:qFormat/>
    <w:pPr>
      <w:spacing w:lineRule="auto" w:line="240" w:before="80" w:after="0"/>
      <w:ind w:hanging="0" w:start="1530" w:end="0"/>
      <w:jc w:val="both"/>
    </w:pPr>
    <w:rPr/>
  </w:style>
  <w:style w:type="paragraph" w:styleId="Paragraph4">
    <w:name w:val="Paragraph4"/>
    <w:basedOn w:val="Normal"/>
    <w:qFormat/>
    <w:pPr>
      <w:spacing w:lineRule="auto" w:line="240" w:before="80" w:after="0"/>
      <w:ind w:hanging="0" w:start="2250" w:end="0"/>
      <w:jc w:val="both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BodyText2">
    <w:name w:val="Body Text 2"/>
    <w:basedOn w:val="Normal"/>
    <w:qFormat/>
    <w:pPr/>
    <w:rPr>
      <w:i/>
      <w:color w:val="0000FF"/>
    </w:rPr>
  </w:style>
  <w:style w:type="paragraph" w:styleId="BodyTextIndent">
    <w:name w:val="Body Text Indent"/>
    <w:basedOn w:val="Normal"/>
    <w:pPr>
      <w:ind w:hanging="0" w:start="720" w:end="0"/>
    </w:pPr>
    <w:rPr>
      <w:i/>
      <w:color w:val="0000FF"/>
      <w:u w:val="single"/>
    </w:rPr>
  </w:style>
  <w:style w:type="paragraph" w:styleId="Body">
    <w:name w:val="Body"/>
    <w:basedOn w:val="Normal"/>
    <w:qFormat/>
    <w:pPr>
      <w:widowControl/>
      <w:spacing w:lineRule="auto" w:line="240" w:before="120" w:after="0"/>
      <w:jc w:val="both"/>
    </w:pPr>
    <w:rPr>
      <w:rFonts w:ascii="Book Antiqua" w:hAnsi="Book Antiqua" w:cs="Book Antiqua"/>
    </w:rPr>
  </w:style>
  <w:style w:type="paragraph" w:styleId="Bullet">
    <w:name w:val="Bullet"/>
    <w:basedOn w:val="Normal"/>
    <w:qFormat/>
    <w:pPr>
      <w:widowControl/>
      <w:numPr>
        <w:ilvl w:val="0"/>
        <w:numId w:val="2"/>
      </w:numPr>
      <w:tabs>
        <w:tab w:val="left" w:pos="720" w:leader="none"/>
      </w:tabs>
      <w:spacing w:lineRule="auto" w:line="240" w:before="120" w:after="0"/>
      <w:ind w:hanging="0" w:start="720" w:end="360"/>
      <w:jc w:val="both"/>
    </w:pPr>
    <w:rPr>
      <w:rFonts w:ascii="Book Antiqua" w:hAnsi="Book Antiqua" w:cs="Book Antiqua"/>
    </w:rPr>
  </w:style>
  <w:style w:type="paragraph" w:styleId="InfoBlue">
    <w:name w:val="InfoBlue"/>
    <w:basedOn w:val="Normal"/>
    <w:next w:val="BodyText"/>
    <w:qFormat/>
    <w:pPr>
      <w:spacing w:before="0" w:after="120"/>
      <w:ind w:hanging="0" w:start="720" w:end="0"/>
    </w:pPr>
    <w:rPr>
      <w:i/>
      <w:color w:val="0000FF"/>
    </w:rPr>
  </w:style>
  <w:style w:type="paragraph" w:styleId="BodyText3">
    <w:name w:val="Body Text 3"/>
    <w:basedOn w:val="Normal"/>
    <w:qFormat/>
    <w:pPr/>
    <w:rPr>
      <w:rFonts w:ascii="Verdana" w:hAnsi="Verdana" w:cs="Verdana"/>
      <w:sz w:val="16"/>
    </w:rPr>
  </w:style>
  <w:style w:type="paragraph" w:styleId="BodyTextIndent2">
    <w:name w:val="Body Text Indent 2"/>
    <w:basedOn w:val="Normal"/>
    <w:qFormat/>
    <w:pPr>
      <w:ind w:hanging="0" w:start="720" w:end="0"/>
    </w:pPr>
    <w:rPr/>
  </w:style>
  <w:style w:type="paragraph" w:styleId="CommentText">
    <w:name w:val="Comment Text"/>
    <w:basedOn w:val="Normal"/>
    <w:qFormat/>
    <w:pPr/>
    <w:rPr/>
  </w:style>
  <w:style w:type="paragraph" w:styleId="HTMLPreformatted">
    <w:name w:val="HTML Preformatted"/>
    <w:basedOn w:val="Normal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>
      <w:widowControl/>
      <w:spacing w:lineRule="auto" w:line="240"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1800" w:leader="none"/>
      </w:tabs>
      <w:ind w:hanging="0" w:start="1080" w:end="0"/>
    </w:pPr>
    <w:rPr/>
  </w:style>
  <w:style w:type="paragraph" w:styleId="PlainText">
    <w:name w:val="Plain Text"/>
    <w:basedOn w:val="Normal"/>
    <w:qFormat/>
    <w:pPr>
      <w:widowControl/>
      <w:spacing w:lineRule="auto" w:line="240"/>
    </w:pPr>
    <w:rPr>
      <w:rFonts w:ascii="Courier New" w:hAnsi="Courier New" w:cs="Courier New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Deployment Plan.dot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2001-07-06T14:23:00Z</dcterms:created>
  <dc:creator>TDF Team</dc:creator>
  <dc:description/>
  <dc:language>en-CA</dc:language>
  <cp:lastModifiedBy>jwebb</cp:lastModifiedBy>
  <cp:lastPrinted>2001-06-06T11:28:00Z</cp:lastPrinted>
  <dcterms:modified xsi:type="dcterms:W3CDTF">2001-07-06T14:23:00Z</dcterms:modified>
  <cp:revision>2</cp:revision>
  <dc:subject>EnronOnline TDF Users Guide</dc:subject>
  <dc:title>External Interfaces Document</dc:title>
</cp:coreProperties>
</file>