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eadingCaption"/>
        <w:rPr/>
      </w:pPr>
      <w:r>
        <w:rPr>
          <w:rFonts w:cs="Courier New" w:ascii="Courier New" w:hAnsi="Courier New"/>
          <w:caps/>
        </w:rPr>
        <w:t>Diane E. Pritchard (S</w:t>
      </w:r>
      <w:r>
        <w:rPr>
          <w:rFonts w:cs="Courier New" w:ascii="Courier New" w:hAnsi="Courier New"/>
        </w:rPr>
        <w:t xml:space="preserve">tate </w:t>
      </w:r>
      <w:r>
        <w:rPr>
          <w:rFonts w:cs="Courier New" w:ascii="Courier New" w:hAnsi="Courier New"/>
          <w:caps/>
        </w:rPr>
        <w:t>B</w:t>
      </w:r>
      <w:r>
        <w:rPr>
          <w:rFonts w:cs="Courier New" w:ascii="Courier New" w:hAnsi="Courier New"/>
        </w:rPr>
        <w:t>ar</w:t>
      </w:r>
      <w:r>
        <w:rPr>
          <w:rFonts w:cs="Courier New" w:ascii="Courier New" w:hAnsi="Courier New"/>
          <w:caps/>
        </w:rPr>
        <w:t xml:space="preserve"> N</w:t>
      </w:r>
      <w:r>
        <w:rPr>
          <w:rFonts w:cs="Courier New" w:ascii="Courier New" w:hAnsi="Courier New"/>
        </w:rPr>
        <w:t>o</w:t>
      </w:r>
      <w:r>
        <w:rPr>
          <w:rFonts w:cs="Courier New" w:ascii="Courier New" w:hAnsi="Courier New"/>
          <w:caps/>
        </w:rPr>
        <w:t>. 96999)</w:t>
      </w:r>
    </w:p>
    <w:p>
      <w:pPr>
        <w:pStyle w:val="PleadingCaption"/>
        <w:rPr>
          <w:rFonts w:ascii="Courier New" w:hAnsi="Courier New" w:cs="Courier New"/>
        </w:rPr>
      </w:pPr>
      <w:r>
        <w:rPr>
          <w:rFonts w:cs="Courier New" w:ascii="Courier New" w:hAnsi="Courier New"/>
          <w:caps/>
        </w:rPr>
        <w:t>Morrison &amp; Foerster</w:t>
      </w:r>
      <w:r>
        <w:rPr>
          <w:rFonts w:cs="Courier New" w:ascii="Courier New" w:hAnsi="Courier New"/>
          <w:smallCaps/>
        </w:rPr>
        <w:t xml:space="preserve"> llp</w:t>
      </w:r>
    </w:p>
    <w:p>
      <w:pPr>
        <w:pStyle w:val="PleadingCaption"/>
        <w:rPr>
          <w:rFonts w:ascii="Courier New" w:hAnsi="Courier New" w:cs="Courier New"/>
        </w:rPr>
      </w:pPr>
      <w:r>
        <w:rPr>
          <w:rFonts w:cs="Courier New" w:ascii="Courier New" w:hAnsi="Courier New"/>
        </w:rPr>
        <w:t>425 Market Street</w:t>
      </w:r>
    </w:p>
    <w:p>
      <w:pPr>
        <w:pStyle w:val="PleadingCaption"/>
        <w:rPr>
          <w:rFonts w:ascii="Courier New" w:hAnsi="Courier New" w:cs="Courier New"/>
        </w:rPr>
      </w:pPr>
      <w:r>
        <w:rPr>
          <w:rFonts w:cs="Courier New" w:ascii="Courier New" w:hAnsi="Courier New"/>
        </w:rPr>
        <w:t>San Francisco, California 94105-2482</w:t>
      </w:r>
    </w:p>
    <w:p>
      <w:pPr>
        <w:pStyle w:val="PleadingCaption"/>
        <w:rPr>
          <w:rFonts w:ascii="Courier New" w:hAnsi="Courier New" w:cs="Courier New"/>
        </w:rPr>
      </w:pPr>
      <w:r>
        <w:rPr>
          <w:rFonts w:cs="Courier New" w:ascii="Courier New" w:hAnsi="Courier New"/>
        </w:rPr>
        <w:t>Telephone: (415) 268-7000</w:t>
      </w:r>
    </w:p>
    <w:p>
      <w:pPr>
        <w:pStyle w:val="PleadingCaption"/>
        <w:rPr>
          <w:rFonts w:ascii="Courier New" w:hAnsi="Courier New" w:cs="Courier New"/>
        </w:rPr>
      </w:pPr>
      <w:r>
        <w:rPr>
          <w:rFonts w:cs="Courier New" w:ascii="Courier New" w:hAnsi="Courier New"/>
        </w:rPr>
        <w:t>Facsimile: (415) 268-7522</w:t>
      </w:r>
    </w:p>
    <w:p>
      <w:pPr>
        <w:pStyle w:val="PleadingCaption"/>
        <w:rPr>
          <w:rFonts w:ascii="Courier New" w:hAnsi="Courier New" w:cs="Courier New"/>
        </w:rPr>
      </w:pPr>
      <w:r>
        <w:rPr>
          <w:rFonts w:cs="Courier New" w:ascii="Courier New" w:hAnsi="Courier New"/>
        </w:rPr>
      </w:r>
    </w:p>
    <w:p>
      <w:pPr>
        <w:pStyle w:val="PleadingCaption"/>
        <w:rPr/>
      </w:pPr>
      <w:r>
        <w:rPr>
          <w:rFonts w:cs="Courier New" w:ascii="Courier New" w:hAnsi="Courier New"/>
          <w:caps/>
        </w:rPr>
        <w:t>GORDON P. ERSPAMER (</w:t>
      </w:r>
      <w:r>
        <w:rPr>
          <w:rFonts w:cs="Courier New" w:ascii="Courier New" w:hAnsi="Courier New"/>
        </w:rPr>
        <w:t>State Bar No</w:t>
      </w:r>
      <w:r>
        <w:rPr>
          <w:rFonts w:cs="Courier New" w:ascii="Courier New" w:hAnsi="Courier New"/>
          <w:caps/>
        </w:rPr>
        <w:t>. 83364)</w:t>
      </w:r>
    </w:p>
    <w:p>
      <w:pPr>
        <w:pStyle w:val="PleadingCaption"/>
        <w:rPr/>
      </w:pPr>
      <w:r>
        <w:rPr>
          <w:rFonts w:cs="Courier New" w:ascii="Courier New" w:hAnsi="Courier New"/>
          <w:caps/>
        </w:rPr>
        <w:t>ANDREW B. SABEY (</w:t>
      </w:r>
      <w:r>
        <w:rPr>
          <w:rFonts w:cs="Courier New" w:ascii="Courier New" w:hAnsi="Courier New"/>
        </w:rPr>
        <w:t>State Bar No</w:t>
      </w:r>
      <w:r>
        <w:rPr>
          <w:rFonts w:cs="Courier New" w:ascii="Courier New" w:hAnsi="Courier New"/>
          <w:caps/>
        </w:rPr>
        <w:t>. 160416)</w:t>
      </w:r>
    </w:p>
    <w:p>
      <w:pPr>
        <w:pStyle w:val="PleadingCaption"/>
        <w:rPr>
          <w:rFonts w:ascii="Courier New" w:hAnsi="Courier New" w:cs="Courier New"/>
          <w:caps/>
        </w:rPr>
      </w:pPr>
      <w:r>
        <w:rPr>
          <w:rFonts w:cs="Courier New" w:ascii="Courier New" w:hAnsi="Courier New"/>
          <w:caps/>
        </w:rPr>
        <w:t xml:space="preserve">MORRISON &amp; FOERSTER </w:t>
      </w:r>
      <w:r>
        <w:rPr>
          <w:rFonts w:cs="Courier New" w:ascii="Courier New" w:hAnsi="Courier New"/>
          <w:smallCaps/>
        </w:rPr>
        <w:t>llp</w:t>
      </w:r>
    </w:p>
    <w:p>
      <w:pPr>
        <w:pStyle w:val="PleadingCaption"/>
        <w:rPr/>
      </w:pPr>
      <w:r>
        <w:rPr>
          <w:rFonts w:cs="Courier New" w:ascii="Courier New" w:hAnsi="Courier New"/>
          <w:caps/>
        </w:rPr>
        <w:t>101</w:t>
      </w:r>
      <w:r>
        <w:rPr>
          <w:rFonts w:cs="Courier New" w:ascii="Courier New" w:hAnsi="Courier New"/>
        </w:rPr>
        <w:t xml:space="preserve"> Ygnacio Valley Road, Suite 450</w:t>
      </w:r>
    </w:p>
    <w:p>
      <w:pPr>
        <w:pStyle w:val="PleadingCaption"/>
        <w:rPr>
          <w:rFonts w:ascii="Courier New" w:hAnsi="Courier New" w:cs="Courier New"/>
        </w:rPr>
      </w:pPr>
      <w:r>
        <w:rPr>
          <w:rFonts w:cs="Courier New" w:ascii="Courier New" w:hAnsi="Courier New"/>
        </w:rPr>
        <w:t>P.O. Box 8130</w:t>
      </w:r>
    </w:p>
    <w:p>
      <w:pPr>
        <w:pStyle w:val="PleadingCaption"/>
        <w:rPr>
          <w:rFonts w:ascii="Courier New" w:hAnsi="Courier New" w:cs="Courier New"/>
          <w:caps/>
        </w:rPr>
      </w:pPr>
      <w:r>
        <w:rPr>
          <w:rFonts w:cs="Courier New" w:ascii="Courier New" w:hAnsi="Courier New"/>
        </w:rPr>
        <w:t>Walnut Creek, California  94596-8130</w:t>
      </w:r>
    </w:p>
    <w:p>
      <w:pPr>
        <w:pStyle w:val="PleadingCaption"/>
        <w:rPr/>
      </w:pPr>
      <w:r>
        <w:rPr>
          <w:rFonts w:cs="Courier New" w:ascii="Courier New" w:hAnsi="Courier New"/>
          <w:caps/>
        </w:rPr>
        <w:t>T</w:t>
      </w:r>
      <w:r>
        <w:rPr>
          <w:rFonts w:cs="Courier New" w:ascii="Courier New" w:hAnsi="Courier New"/>
        </w:rPr>
        <w:t>elephone</w:t>
      </w:r>
      <w:r>
        <w:rPr>
          <w:rFonts w:cs="Courier New" w:ascii="Courier New" w:hAnsi="Courier New"/>
          <w:caps/>
        </w:rPr>
        <w:t>: (925) 295-3300</w:t>
      </w:r>
    </w:p>
    <w:p>
      <w:pPr>
        <w:pStyle w:val="PleadingCaption"/>
        <w:rPr/>
      </w:pPr>
      <w:r>
        <w:rPr>
          <w:rFonts w:cs="Courier New" w:ascii="Courier New" w:hAnsi="Courier New"/>
        </w:rPr>
        <w:t>Facsimile</w:t>
      </w:r>
      <w:r>
        <w:rPr>
          <w:rFonts w:cs="Courier New" w:ascii="Courier New" w:hAnsi="Courier New"/>
          <w:caps/>
        </w:rPr>
        <w:t>: (925) 946-9912</w:t>
      </w:r>
    </w:p>
    <w:p>
      <w:pPr>
        <w:pStyle w:val="PleadingCaption"/>
        <w:rPr>
          <w:rFonts w:ascii="Courier New" w:hAnsi="Courier New" w:cs="Courier New"/>
          <w:caps/>
        </w:rPr>
      </w:pPr>
      <w:r>
        <w:rPr>
          <w:rFonts w:cs="Courier New" w:ascii="Courier New" w:hAnsi="Courier New"/>
          <w:caps/>
        </w:rPr>
      </w:r>
    </w:p>
    <w:p>
      <w:pPr>
        <w:pStyle w:val="PleadingCaption"/>
        <w:rPr>
          <w:rFonts w:ascii="Courier New" w:hAnsi="Courier New" w:cs="Courier New"/>
        </w:rPr>
      </w:pPr>
      <w:r>
        <w:rPr>
          <w:rFonts w:cs="Courier New" w:ascii="Courier New" w:hAnsi="Courier New"/>
        </w:rPr>
        <w:t>Attorneys for Plaintiff</w:t>
      </w:r>
    </w:p>
    <w:p>
      <w:pPr>
        <w:pStyle w:val="Client"/>
        <w:rPr>
          <w:rFonts w:ascii="Courier New" w:hAnsi="Courier New" w:cs="Courier New"/>
        </w:rPr>
      </w:pPr>
      <w:r>
        <w:rPr>
          <w:rFonts w:cs="Courier New" w:ascii="Courier New" w:hAnsi="Courier New"/>
        </w:rPr>
        <w:t>AVISTA ENERGY, INC.</w:t>
      </w:r>
    </w:p>
    <w:p>
      <w:pPr>
        <w:pStyle w:val="PleadingCaption"/>
        <w:rPr>
          <w:rFonts w:ascii="Courier New" w:hAnsi="Courier New" w:cs="Courier New"/>
        </w:rPr>
      </w:pPr>
      <w:r>
        <w:rPr>
          <w:rFonts w:cs="Courier New" w:ascii="Courier New" w:hAnsi="Courier New"/>
        </w:rPr>
      </w:r>
    </w:p>
    <w:p>
      <w:pPr>
        <w:pStyle w:val="PleadingCaption"/>
        <w:rPr>
          <w:rFonts w:ascii="Courier New" w:hAnsi="Courier New" w:cs="Courier New"/>
        </w:rPr>
      </w:pPr>
      <w:r>
        <w:rPr>
          <w:rFonts w:cs="Courier New" w:ascii="Courier New" w:hAnsi="Courier New"/>
        </w:rPr>
      </w:r>
    </w:p>
    <w:p>
      <w:pPr>
        <w:pStyle w:val="Court"/>
        <w:rPr>
          <w:rFonts w:ascii="Courier New" w:hAnsi="Courier New" w:cs="Courier New"/>
        </w:rPr>
      </w:pPr>
      <w:r>
        <w:rPr>
          <w:rFonts w:cs="Courier New" w:ascii="Courier New" w:hAnsi="Courier New"/>
        </w:rPr>
        <w:t>UNITED STATES DISTRICT COURT</w:t>
        <w:br/>
        <w:br/>
        <w:t>CENTRAL DISTRICT OF CALIFORNIA</w:t>
      </w:r>
    </w:p>
    <w:p>
      <w:pPr>
        <w:pStyle w:val="PleadingCaption"/>
        <w:rPr>
          <w:rFonts w:ascii="Courier New" w:hAnsi="Courier New" w:cs="Courier New"/>
        </w:rPr>
      </w:pPr>
      <w:r>
        <w:rPr>
          <w:rFonts w:cs="Courier New" w:ascii="Courier New" w:hAnsi="Courier New"/>
        </w:rPr>
      </w:r>
    </w:p>
    <w:p>
      <w:pPr>
        <w:pStyle w:val="PleadingCaption"/>
        <w:rPr>
          <w:rFonts w:ascii="Courier New" w:hAnsi="Courier New" w:cs="Courier New"/>
        </w:rPr>
      </w:pPr>
      <w:r>
        <w:rPr>
          <w:rFonts w:cs="Courier New" w:ascii="Courier New" w:hAnsi="Courier New"/>
        </w:rPr>
      </w:r>
    </w:p>
    <w:p>
      <w:pPr>
        <w:pStyle w:val="PleadingCaption"/>
        <w:rPr>
          <w:rFonts w:ascii="Courier New" w:hAnsi="Courier New" w:cs="Courier New"/>
        </w:rPr>
      </w:pPr>
      <w:r>
        <w:rPr>
          <w:rFonts w:cs="Courier New" w:ascii="Courier New" w:hAnsi="Courier New"/>
        </w:rPr>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bottom w:val="single" w:sz="6" w:space="0" w:color="000000"/>
              <w:end w:val="single" w:sz="6" w:space="0" w:color="000000"/>
            </w:tcBorders>
          </w:tcPr>
          <w:p>
            <w:pPr>
              <w:pStyle w:val="PleadingCaption"/>
              <w:tabs>
                <w:tab w:val="clear" w:pos="2707"/>
                <w:tab w:val="left" w:pos="1066" w:leader="none"/>
                <w:tab w:val="left" w:pos="2340" w:leader="none"/>
                <w:tab w:val="right" w:pos="9360" w:leader="none"/>
              </w:tabs>
              <w:rPr>
                <w:rFonts w:ascii="Courier New" w:hAnsi="Courier New" w:cs="Courier New"/>
              </w:rPr>
            </w:pPr>
            <w:bookmarkStart w:id="0" w:name="Probate"/>
            <w:bookmarkStart w:id="1" w:name="Bankruptcy"/>
            <w:bookmarkStart w:id="2" w:name="party1"/>
            <w:bookmarkEnd w:id="0"/>
            <w:bookmarkEnd w:id="2"/>
            <w:r>
              <w:rPr>
                <w:rFonts w:cs="Courier New" w:ascii="Courier New" w:hAnsi="Courier New"/>
                <w:caps/>
              </w:rPr>
              <w:t xml:space="preserve">avista energy, Inc., </w:t>
            </w:r>
          </w:p>
          <w:p>
            <w:pPr>
              <w:pStyle w:val="PleadingCaption"/>
              <w:tabs>
                <w:tab w:val="clear" w:pos="2707"/>
                <w:tab w:val="left" w:pos="1066" w:leader="none"/>
                <w:tab w:val="left" w:pos="2340" w:leader="none"/>
                <w:tab w:val="right" w:pos="9360" w:leader="none"/>
              </w:tabs>
              <w:rPr>
                <w:rFonts w:ascii="Courier New" w:hAnsi="Courier New" w:cs="Courier New"/>
              </w:rPr>
            </w:pPr>
            <w:r>
              <w:rPr>
                <w:rFonts w:cs="Courier New" w:ascii="Courier New" w:hAnsi="Courier New"/>
              </w:rPr>
            </w:r>
          </w:p>
          <w:p>
            <w:pPr>
              <w:pStyle w:val="PleadingCaption"/>
              <w:tabs>
                <w:tab w:val="clear" w:pos="2707"/>
                <w:tab w:val="left" w:pos="1066" w:leader="none"/>
                <w:tab w:val="left" w:pos="2340" w:leader="none"/>
                <w:tab w:val="left" w:pos="2970" w:leader="none"/>
                <w:tab w:val="right" w:pos="9360" w:leader="none"/>
              </w:tabs>
              <w:rPr>
                <w:rFonts w:ascii="Courier New" w:hAnsi="Courier New" w:cs="Courier New"/>
              </w:rPr>
            </w:pPr>
            <w:r>
              <w:rPr>
                <w:rFonts w:cs="Courier New" w:ascii="Courier New" w:hAnsi="Courier New"/>
              </w:rPr>
              <w:tab/>
              <w:tab/>
              <w:t>Plaintiff,</w:t>
            </w:r>
          </w:p>
          <w:p>
            <w:pPr>
              <w:pStyle w:val="PleadingCaption"/>
              <w:tabs>
                <w:tab w:val="clear" w:pos="2707"/>
                <w:tab w:val="left" w:pos="1066" w:leader="none"/>
                <w:tab w:val="left" w:pos="2340" w:leader="none"/>
                <w:tab w:val="right" w:pos="9360" w:leader="none"/>
              </w:tabs>
              <w:rPr>
                <w:rFonts w:ascii="Courier New" w:hAnsi="Courier New" w:cs="Courier New"/>
              </w:rPr>
            </w:pPr>
            <w:r>
              <w:rPr>
                <w:rFonts w:cs="Courier New" w:ascii="Courier New" w:hAnsi="Courier New"/>
              </w:rPr>
            </w:r>
          </w:p>
          <w:p>
            <w:pPr>
              <w:pStyle w:val="PleadingCaption"/>
              <w:tabs>
                <w:tab w:val="clear" w:pos="2707"/>
                <w:tab w:val="left" w:pos="450" w:leader="none"/>
                <w:tab w:val="left" w:pos="1066" w:leader="none"/>
                <w:tab w:val="left" w:pos="2340" w:leader="none"/>
                <w:tab w:val="right" w:pos="9360" w:leader="none"/>
              </w:tabs>
              <w:rPr>
                <w:rFonts w:ascii="Courier New" w:hAnsi="Courier New" w:cs="Courier New"/>
              </w:rPr>
            </w:pPr>
            <w:bookmarkStart w:id="3" w:name="Bankruptcy"/>
            <w:r>
              <w:rPr>
                <w:rFonts w:cs="Courier New" w:ascii="Courier New" w:hAnsi="Courier New"/>
              </w:rPr>
              <w:tab/>
              <w:t>vs.</w:t>
            </w:r>
            <w:bookmarkEnd w:id="3"/>
          </w:p>
          <w:p>
            <w:pPr>
              <w:pStyle w:val="PleadingCaption"/>
              <w:tabs>
                <w:tab w:val="clear" w:pos="2707"/>
                <w:tab w:val="left" w:pos="1066" w:leader="none"/>
                <w:tab w:val="left" w:pos="2340" w:leader="none"/>
                <w:tab w:val="right" w:pos="9360" w:leader="none"/>
              </w:tabs>
              <w:rPr>
                <w:rFonts w:ascii="Courier New" w:hAnsi="Courier New" w:cs="Courier New"/>
              </w:rPr>
            </w:pPr>
            <w:r>
              <w:rPr>
                <w:rFonts w:cs="Courier New" w:ascii="Courier New" w:hAnsi="Courier New"/>
              </w:rPr>
            </w:r>
          </w:p>
          <w:p>
            <w:pPr>
              <w:pStyle w:val="PleadingCaption"/>
              <w:tabs>
                <w:tab w:val="clear" w:pos="2707"/>
                <w:tab w:val="left" w:pos="1066" w:leader="none"/>
                <w:tab w:val="left" w:pos="2340" w:leader="none"/>
                <w:tab w:val="right" w:pos="9360" w:leader="none"/>
              </w:tabs>
              <w:rPr>
                <w:rFonts w:ascii="Courier New" w:hAnsi="Courier New" w:cs="Courier New"/>
              </w:rPr>
            </w:pPr>
            <w:r>
              <w:rPr>
                <w:rFonts w:cs="Courier New" w:ascii="Courier New" w:hAnsi="Courier New"/>
              </w:rPr>
              <w:t>CALIFORNIA POWER EXCHANGE CORPORATION,</w:t>
            </w:r>
          </w:p>
          <w:p>
            <w:pPr>
              <w:pStyle w:val="PleadingCaption"/>
              <w:tabs>
                <w:tab w:val="clear" w:pos="2707"/>
                <w:tab w:val="left" w:pos="1066" w:leader="none"/>
                <w:tab w:val="left" w:pos="2340" w:leader="none"/>
                <w:tab w:val="left" w:pos="3060" w:leader="none"/>
                <w:tab w:val="right" w:pos="9360" w:leader="none"/>
              </w:tabs>
              <w:rPr>
                <w:rFonts w:ascii="Courier New" w:hAnsi="Courier New" w:cs="Courier New"/>
              </w:rPr>
            </w:pPr>
            <w:r>
              <w:rPr>
                <w:rFonts w:cs="Courier New" w:ascii="Courier New" w:hAnsi="Courier New"/>
              </w:rPr>
            </w:r>
          </w:p>
          <w:p>
            <w:pPr>
              <w:pStyle w:val="PleadingCaption"/>
              <w:tabs>
                <w:tab w:val="clear" w:pos="2707"/>
                <w:tab w:val="left" w:pos="1066" w:leader="none"/>
                <w:tab w:val="left" w:pos="2340" w:leader="none"/>
                <w:tab w:val="left" w:pos="3060" w:leader="none"/>
                <w:tab w:val="right" w:pos="9360" w:leader="none"/>
              </w:tabs>
              <w:rPr>
                <w:rFonts w:ascii="Courier New" w:hAnsi="Courier New" w:cs="Courier New"/>
              </w:rPr>
            </w:pPr>
            <w:r>
              <w:rPr>
                <w:rFonts w:cs="Courier New" w:ascii="Courier New" w:hAnsi="Courier New"/>
              </w:rPr>
              <w:tab/>
              <w:tab/>
              <w:t>Defendant.</w:t>
            </w:r>
          </w:p>
          <w:p>
            <w:pPr>
              <w:pStyle w:val="PleadingCaption"/>
              <w:rPr>
                <w:rFonts w:ascii="Courier New" w:hAnsi="Courier New" w:cs="Courier New"/>
              </w:rPr>
            </w:pPr>
            <w:r>
              <w:rPr>
                <w:rFonts w:cs="Courier New" w:ascii="Courier New" w:hAnsi="Courier New"/>
              </w:rPr>
            </w:r>
            <w:bookmarkStart w:id="4" w:name="Probate"/>
            <w:bookmarkStart w:id="5" w:name="Probate"/>
            <w:bookmarkEnd w:id="5"/>
          </w:p>
        </w:tc>
        <w:tc>
          <w:tcPr>
            <w:tcW w:w="4518" w:type="dxa"/>
            <w:tcBorders/>
          </w:tcPr>
          <w:p>
            <w:pPr>
              <w:pStyle w:val="PleadingCaption"/>
              <w:tabs>
                <w:tab w:val="clear" w:pos="1066"/>
                <w:tab w:val="clear" w:pos="2707"/>
                <w:tab w:val="left" w:pos="1152" w:leader="none"/>
                <w:tab w:val="right" w:pos="9360" w:leader="none"/>
              </w:tabs>
              <w:ind w:start="162" w:end="0"/>
              <w:rPr>
                <w:rFonts w:ascii="Courier New" w:hAnsi="Courier New" w:cs="Courier New"/>
              </w:rPr>
            </w:pPr>
            <w:r>
              <w:rPr>
                <w:rFonts w:cs="Courier New" w:ascii="Courier New" w:hAnsi="Courier New"/>
              </w:rPr>
              <w:t>NO. CV 01-01244 MMM (Mcx)</w:t>
            </w:r>
          </w:p>
          <w:p>
            <w:pPr>
              <w:pStyle w:val="PleadingCaption"/>
              <w:tabs>
                <w:tab w:val="clear" w:pos="1066"/>
                <w:tab w:val="clear" w:pos="2707"/>
                <w:tab w:val="left" w:pos="1152" w:leader="none"/>
                <w:tab w:val="right" w:pos="9360" w:leader="none"/>
              </w:tabs>
              <w:ind w:start="162" w:end="0"/>
              <w:rPr>
                <w:rFonts w:ascii="Courier New" w:hAnsi="Courier New" w:cs="Courier New"/>
                <w:sz w:val="22"/>
              </w:rPr>
            </w:pPr>
            <w:r>
              <w:rPr>
                <w:rFonts w:cs="Courier New" w:ascii="Courier New" w:hAnsi="Courier New"/>
                <w:sz w:val="22"/>
              </w:rPr>
              <w:t>The Honorable Margaret M. Morrow</w:t>
            </w:r>
          </w:p>
          <w:p>
            <w:pPr>
              <w:pStyle w:val="PleadingCaption"/>
              <w:tabs>
                <w:tab w:val="clear" w:pos="1066"/>
                <w:tab w:val="clear" w:pos="2707"/>
                <w:tab w:val="left" w:pos="1152" w:leader="none"/>
                <w:tab w:val="right" w:pos="9360" w:leader="none"/>
              </w:tabs>
              <w:ind w:start="162" w:end="0"/>
              <w:rPr>
                <w:rFonts w:ascii="Courier New" w:hAnsi="Courier New" w:cs="Courier New"/>
                <w:sz w:val="22"/>
              </w:rPr>
            </w:pPr>
            <w:r>
              <w:rPr>
                <w:rFonts w:cs="Courier New" w:ascii="Courier New" w:hAnsi="Courier New"/>
                <w:sz w:val="22"/>
              </w:rPr>
            </w:r>
          </w:p>
          <w:p>
            <w:pPr>
              <w:pStyle w:val="PleadingCaption"/>
              <w:tabs>
                <w:tab w:val="clear" w:pos="1066"/>
                <w:tab w:val="left" w:pos="1152" w:leader="none"/>
                <w:tab w:val="left" w:pos="2707" w:leader="none"/>
                <w:tab w:val="right" w:pos="9360" w:leader="none"/>
              </w:tabs>
              <w:ind w:start="162" w:end="0"/>
              <w:rPr>
                <w:rFonts w:ascii="Courier New" w:hAnsi="Courier New" w:cs="Courier New"/>
              </w:rPr>
            </w:pPr>
            <w:r>
              <w:rPr>
                <w:rFonts w:cs="Courier New" w:ascii="Courier New" w:hAnsi="Courier New"/>
              </w:rPr>
              <w:t>AVISTA ENERGY, INC.’S EX PARTE APPLICATION IN SUPPORT OF TEMPORARY RESTRAINING ORDER AND ORDER TO SHOW CAUSE RE PRELIMINARY INJUNCTION</w:t>
            </w:r>
          </w:p>
          <w:p>
            <w:pPr>
              <w:pStyle w:val="PleadingCaption"/>
              <w:tabs>
                <w:tab w:val="clear" w:pos="1066"/>
                <w:tab w:val="left" w:pos="1152" w:leader="none"/>
                <w:tab w:val="left" w:pos="2707" w:leader="none"/>
                <w:tab w:val="right" w:pos="9360" w:leader="none"/>
              </w:tabs>
              <w:ind w:start="162" w:end="0"/>
              <w:rPr>
                <w:rFonts w:ascii="Courier New" w:hAnsi="Courier New" w:cs="Courier New"/>
              </w:rPr>
            </w:pPr>
            <w:r>
              <w:rPr>
                <w:rFonts w:cs="Courier New" w:ascii="Courier New" w:hAnsi="Courier New"/>
              </w:rPr>
            </w:r>
          </w:p>
          <w:p>
            <w:pPr>
              <w:pStyle w:val="PleadingCaption"/>
              <w:tabs>
                <w:tab w:val="clear" w:pos="1066"/>
                <w:tab w:val="left" w:pos="1152" w:leader="none"/>
                <w:tab w:val="left" w:pos="2707" w:leader="none"/>
                <w:tab w:val="right" w:pos="9360" w:leader="none"/>
              </w:tabs>
              <w:ind w:start="162" w:end="0"/>
              <w:rPr/>
            </w:pPr>
            <w:r>
              <w:rPr>
                <w:rFonts w:cs="Courier New" w:ascii="Courier New" w:hAnsi="Courier New"/>
                <w:u w:val="single"/>
              </w:rPr>
              <w:t>Hearing</w:t>
            </w:r>
            <w:r>
              <w:rPr>
                <w:rFonts w:cs="Courier New" w:ascii="Courier New" w:hAnsi="Courier New"/>
              </w:rPr>
              <w:t>: To Be Determined</w:t>
            </w:r>
          </w:p>
          <w:p>
            <w:pPr>
              <w:pStyle w:val="PleadingCaption"/>
              <w:tabs>
                <w:tab w:val="clear" w:pos="1066"/>
                <w:tab w:val="left" w:pos="1152" w:leader="none"/>
                <w:tab w:val="left" w:pos="2707" w:leader="none"/>
                <w:tab w:val="right" w:pos="9360" w:leader="none"/>
              </w:tabs>
              <w:ind w:start="162" w:end="0"/>
              <w:rPr>
                <w:rFonts w:ascii="Courier New" w:hAnsi="Courier New" w:cs="Courier New"/>
              </w:rPr>
            </w:pPr>
            <w:r>
              <w:rPr>
                <w:rFonts w:cs="Courier New" w:ascii="Courier New" w:hAnsi="Courier New"/>
              </w:rPr>
            </w:r>
          </w:p>
          <w:p>
            <w:pPr>
              <w:pStyle w:val="PleadingCaption"/>
              <w:tabs>
                <w:tab w:val="clear" w:pos="1066"/>
                <w:tab w:val="left" w:pos="612" w:leader="none"/>
                <w:tab w:val="left" w:pos="2707" w:leader="none"/>
                <w:tab w:val="right" w:pos="9360" w:leader="none"/>
              </w:tabs>
              <w:ind w:start="162" w:end="0"/>
              <w:rPr>
                <w:rFonts w:ascii="Courier New" w:hAnsi="Courier New" w:cs="Courier New"/>
              </w:rPr>
            </w:pPr>
            <w:r>
              <w:rPr>
                <w:rFonts w:cs="Courier New" w:ascii="Courier New" w:hAnsi="Courier New"/>
              </w:rPr>
            </w:r>
          </w:p>
        </w:tc>
      </w:tr>
    </w:tbl>
    <w:p>
      <w:pPr>
        <w:pStyle w:val="Normal"/>
        <w:rPr>
          <w:rFonts w:ascii="Courier New" w:hAnsi="Courier New" w:cs="Courier New"/>
        </w:rPr>
      </w:pPr>
      <w:r>
        <w:rPr>
          <w:rFonts w:cs="Courier New" w:ascii="Courier New" w:hAnsi="Courier New"/>
        </w:rPr>
      </w:r>
      <w:bookmarkStart w:id="6" w:name="Appeals"/>
      <w:bookmarkStart w:id="7" w:name="Appeals"/>
      <w:bookmarkEnd w:id="7"/>
    </w:p>
    <w:p>
      <w:pPr>
        <w:pStyle w:val="Normal"/>
        <w:rPr>
          <w:rFonts w:ascii="Courier New" w:hAnsi="Courier New" w:cs="Courier New"/>
        </w:rPr>
      </w:pPr>
      <w:r>
        <w:rPr>
          <w:rFonts w:cs="Courier New" w:ascii="Courier New" w:hAnsi="Courier New"/>
        </w:rPr>
      </w:r>
    </w:p>
    <w:p>
      <w:pPr>
        <w:sectPr>
          <w:headerReference w:type="default" r:id="rId2"/>
          <w:headerReference w:type="first" r:id="rId3"/>
          <w:footerReference w:type="default" r:id="rId4"/>
          <w:footerReference w:type="first" r:id="rId5"/>
          <w:type w:val="nextPage"/>
          <w:pgSz w:w="12240" w:h="15840"/>
          <w:pgMar w:left="2088" w:right="720" w:gutter="0" w:header="475" w:top="1267" w:footer="504" w:bottom="1325"/>
          <w:pgNumType w:start="1" w:fmt="decimal"/>
          <w:formProt w:val="false"/>
          <w:titlePg/>
          <w:textDirection w:val="lrTb"/>
          <w:docGrid w:type="default" w:linePitch="360" w:charSpace="0"/>
        </w:sectPr>
        <w:pStyle w:val="BodyText"/>
        <w:jc w:val="start"/>
        <w:rPr>
          <w:rFonts w:ascii="Courier New" w:hAnsi="Courier New" w:cs="Courier New"/>
        </w:rPr>
      </w:pPr>
      <w:r>
        <w:rPr>
          <w:rFonts w:cs="Courier New" w:ascii="Courier New" w:hAnsi="Courier New"/>
        </w:rPr>
        <w:t>Plaintiff Avista Energy, Inc. (“Avista Energy”) hereby applies for a temporary restraining order against California Power Exchange Corporation (“CalPX”) and order to show cause why the CalPX should not be enjoined from the wrongful acts described below.</w:t>
      </w:r>
    </w:p>
    <w:p>
      <w:pPr>
        <w:pStyle w:val="Heading1"/>
        <w:spacing w:before="0" w:after="0"/>
        <w:rPr>
          <w:rFonts w:ascii="Courier New" w:hAnsi="Courier New" w:cs="Courier New"/>
        </w:rPr>
      </w:pPr>
      <w:r>
        <w:rPr>
          <w:rFonts w:cs="Courier New" w:ascii="Courier New" w:hAnsi="Courier New"/>
        </w:rPr>
        <w:t xml:space="preserve">INTRODUCTION </w:t>
      </w:r>
    </w:p>
    <w:p>
      <w:pPr>
        <w:pStyle w:val="BodyText"/>
        <w:jc w:val="start"/>
        <w:rPr>
          <w:rFonts w:ascii="Courier New" w:hAnsi="Courier New" w:cs="Courier New"/>
        </w:rPr>
      </w:pPr>
      <w:r>
        <w:rPr>
          <w:rFonts w:cs="Courier New" w:ascii="Courier New" w:hAnsi="Courier New"/>
        </w:rPr>
        <w:t xml:space="preserve">Avista Energy seeks immediate injunctive relief to protect it from the irreparable injury it will suffer if the CalPX continues to issue wrongful assessments against it, attempts to draw down on the security Avista Energy has posted, or engages in the other unlawful conduct described below.  </w:t>
      </w:r>
    </w:p>
    <w:p>
      <w:pPr>
        <w:pStyle w:val="BodyText"/>
        <w:jc w:val="start"/>
        <w:rPr>
          <w:rFonts w:ascii="Courier New" w:hAnsi="Courier New" w:cs="Courier New"/>
        </w:rPr>
      </w:pPr>
      <w:r>
        <w:rPr>
          <w:rFonts w:cs="Courier New" w:ascii="Courier New" w:hAnsi="Courier New"/>
        </w:rPr>
        <w:t>The CalPX operates a wholesale electricity market, in which Avista Energy was a participant. In breach of its fiduciary obligations and other duties and its own Tariff, it unilaterally withheld $1,287,301 from a payment due to Avista Energy based on a defective charge-back invoice after the massive and continuing defaults of Southern California Edison (“SCE”) and Pacific Gas &amp; Electric (“PG&amp;E”) in the market.  The CalPX has told Avista Energy that it will continue to issue the assessments, that the assessments will substantially increase and that Avista Energy will receive an $8 million assessment on February 8, 2001.</w:t>
      </w:r>
    </w:p>
    <w:p>
      <w:pPr>
        <w:pStyle w:val="BodyText"/>
        <w:jc w:val="start"/>
        <w:rPr>
          <w:rFonts w:ascii="Courier New" w:hAnsi="Courier New" w:cs="Courier New"/>
        </w:rPr>
      </w:pPr>
      <w:r>
        <w:rPr>
          <w:rFonts w:cs="Courier New" w:ascii="Courier New" w:hAnsi="Courier New"/>
        </w:rPr>
        <w:t xml:space="preserve">Avista Energy will suffer irreparable injury if the CalPX is not enjoined.  If forced to pay the wrongful assessments, it will never be able to recover those amounts from the CalPX because the CalPX has announced that it will go out of business imminently.  On the other hand, if Avista Energy refuses to pay, the CalPX has threatened to declare a default and draw on Avista Energy’s letter of credit.  This in turn may trigger a series of other defaults and irreparable injury to Avista Energy’s business relationships and reputation.  Avista Energy’s money will be lost forever.  Avista Energy likely will be unable to recover money damages against the CalPX because the CalPX has no significant assets.  SCE and PG&amp;E, the primary defaulting parties, are insolvent.  The balance of hardships tips decidedly in favor of Avista Energy.  </w:t>
      </w:r>
    </w:p>
    <w:p>
      <w:pPr>
        <w:pStyle w:val="Heading1"/>
        <w:rPr>
          <w:rFonts w:ascii="Courier New" w:hAnsi="Courier New" w:cs="Courier New"/>
        </w:rPr>
      </w:pPr>
      <w:r>
        <w:rPr>
          <w:rFonts w:cs="Courier New" w:ascii="Courier New" w:hAnsi="Courier New"/>
        </w:rPr>
        <w:t xml:space="preserve">relief requested </w:t>
      </w:r>
    </w:p>
    <w:p>
      <w:pPr>
        <w:pStyle w:val="BodyText"/>
        <w:jc w:val="start"/>
        <w:rPr>
          <w:rFonts w:ascii="Courier New" w:hAnsi="Courier New" w:cs="Courier New"/>
        </w:rPr>
      </w:pPr>
      <w:r>
        <w:rPr>
          <w:rFonts w:cs="Courier New" w:ascii="Courier New" w:hAnsi="Courier New"/>
        </w:rPr>
        <w:t xml:space="preserve">Avista Energy applies for a temporary restraining order and order to show cause why a preliminary injunction should not be issued enjoining the CalPX, and its agents, servants, assigns and all those acting in concert with it from:  </w:t>
      </w:r>
    </w:p>
    <w:p>
      <w:pPr>
        <w:pStyle w:val="BodyText"/>
        <w:jc w:val="start"/>
        <w:rPr>
          <w:rFonts w:ascii="Courier New" w:hAnsi="Courier New" w:cs="Courier New"/>
        </w:rPr>
      </w:pPr>
      <w:r>
        <w:rPr>
          <w:rFonts w:cs="Courier New" w:ascii="Courier New" w:hAnsi="Courier New"/>
        </w:rPr>
        <w:t>1.</w:t>
        <w:tab/>
        <w:t xml:space="preserve">Issuing any additional charge-back notices to Avista Energy based on defaults by SCE, PG&amp;E or other CalPX market participants; </w:t>
      </w:r>
    </w:p>
    <w:p>
      <w:pPr>
        <w:pStyle w:val="BodyText"/>
        <w:jc w:val="start"/>
        <w:rPr>
          <w:rFonts w:ascii="Courier New" w:hAnsi="Courier New" w:cs="Courier New"/>
        </w:rPr>
      </w:pPr>
      <w:r>
        <w:rPr>
          <w:rFonts w:cs="Courier New" w:ascii="Courier New" w:hAnsi="Courier New"/>
        </w:rPr>
        <w:t>2.</w:t>
        <w:tab/>
        <w:t xml:space="preserve">Taking any action to collect on any charge-back notices issued to Avista Energy, including offsetting amounts otherwise due to Avista Energy or its affiliates based upon a charge-back notice; </w:t>
      </w:r>
    </w:p>
    <w:p>
      <w:pPr>
        <w:pStyle w:val="BodyText"/>
        <w:jc w:val="start"/>
        <w:rPr>
          <w:rFonts w:ascii="Courier New" w:hAnsi="Courier New" w:cs="Courier New"/>
        </w:rPr>
      </w:pPr>
      <w:r>
        <w:rPr>
          <w:rFonts w:cs="Courier New" w:ascii="Courier New" w:hAnsi="Courier New"/>
        </w:rPr>
        <w:t>3.</w:t>
        <w:tab/>
        <w:t xml:space="preserve">Taking any action to draw down, liquidate, transfer, assign or call upon any cash deposits, collateral, bonds, letters of credit or any other security posted by Avista Energy or to declare Avista Energy in default of its obligations under the CalPX Participation Agreement based upon an alleged failure to pay an invoice associated with a charge-back notice; </w:t>
      </w:r>
    </w:p>
    <w:p>
      <w:pPr>
        <w:pStyle w:val="BodyText"/>
        <w:jc w:val="start"/>
        <w:rPr>
          <w:rFonts w:ascii="Courier New" w:hAnsi="Courier New" w:cs="Courier New"/>
        </w:rPr>
      </w:pPr>
      <w:r>
        <w:rPr>
          <w:rFonts w:cs="Courier New" w:ascii="Courier New" w:hAnsi="Courier New"/>
        </w:rPr>
        <w:t>4.</w:t>
        <w:tab/>
        <w:t xml:space="preserve">Requiring Avista Energy to post any additional security of any kind; </w:t>
      </w:r>
    </w:p>
    <w:p>
      <w:pPr>
        <w:pStyle w:val="BodyText"/>
        <w:jc w:val="start"/>
        <w:rPr>
          <w:rFonts w:ascii="Courier New" w:hAnsi="Courier New" w:cs="Courier New"/>
        </w:rPr>
      </w:pPr>
      <w:r>
        <w:rPr>
          <w:rFonts w:cs="Courier New" w:ascii="Courier New" w:hAnsi="Courier New"/>
        </w:rPr>
        <w:t>5.</w:t>
        <w:tab/>
        <w:t>Disbursing, spending or failing to deposit in an escrow account for the benefit of Avista Energy all sums received from Avista Energy in response to charge-back notices or offset by the CalPX as to amounts owed to Avista Energy; and</w:t>
      </w:r>
    </w:p>
    <w:p>
      <w:pPr>
        <w:pStyle w:val="BodyText"/>
        <w:jc w:val="start"/>
        <w:rPr>
          <w:rFonts w:ascii="Courier New" w:hAnsi="Courier New" w:cs="Courier New"/>
        </w:rPr>
      </w:pPr>
      <w:r>
        <w:rPr>
          <w:rFonts w:cs="Courier New" w:ascii="Courier New" w:hAnsi="Courier New"/>
        </w:rPr>
        <w:t>6.</w:t>
        <w:tab/>
        <w:t xml:space="preserve">Failing or refusing to institute legal proceedings against the primary defaulting participants respecting charge-back notices, including SCE and PG&amp;E.  </w:t>
      </w:r>
    </w:p>
    <w:p>
      <w:pPr>
        <w:pStyle w:val="BodyText"/>
        <w:jc w:val="start"/>
        <w:rPr>
          <w:rFonts w:ascii="Courier New" w:hAnsi="Courier New" w:cs="Courier New"/>
        </w:rPr>
      </w:pPr>
      <w:r>
        <w:rPr>
          <w:rFonts w:cs="Courier New" w:ascii="Courier New" w:hAnsi="Courier New"/>
        </w:rPr>
        <w:t xml:space="preserve">Avista Energy requests that the temporary restraining order continue in effect until the hearing on the order to show cause.  </w:t>
      </w:r>
    </w:p>
    <w:p>
      <w:pPr>
        <w:pStyle w:val="Heading1"/>
        <w:rPr>
          <w:rFonts w:ascii="Courier New" w:hAnsi="Courier New" w:cs="Courier New"/>
        </w:rPr>
      </w:pPr>
      <w:r>
        <w:rPr>
          <w:rFonts w:cs="Courier New" w:ascii="Courier New" w:hAnsi="Courier New"/>
        </w:rPr>
        <w:t xml:space="preserve">basis for application </w:t>
      </w:r>
    </w:p>
    <w:p>
      <w:pPr>
        <w:pStyle w:val="BodyText"/>
        <w:jc w:val="start"/>
        <w:rPr>
          <w:rFonts w:ascii="Courier New" w:hAnsi="Courier New" w:cs="Courier New"/>
        </w:rPr>
      </w:pPr>
      <w:r>
        <w:rPr>
          <w:rFonts w:cs="Courier New" w:ascii="Courier New" w:hAnsi="Courier New"/>
        </w:rPr>
        <w:t>Absent the requested relief, Avista Energy will be irreparably injured and any judgment it obtains will be worthless because the CalPX will be judgment-proof and PG&amp;E and SCE are both insolvent.  A temporary restraining order is appropriate because Avista Energy can demonstrate both a likelihood of success on the merits and the possibility of irreparable harm, and that the balance of hardships tips in its favor.</w:t>
      </w:r>
    </w:p>
    <w:p>
      <w:pPr>
        <w:pStyle w:val="Heading2"/>
        <w:rPr>
          <w:rFonts w:ascii="Courier New" w:hAnsi="Courier New" w:cs="Courier New"/>
        </w:rPr>
      </w:pPr>
      <w:r>
        <w:rPr>
          <w:rFonts w:cs="Courier New" w:ascii="Courier New" w:hAnsi="Courier New"/>
        </w:rPr>
        <w:t>Parties</w:t>
      </w:r>
    </w:p>
    <w:p>
      <w:pPr>
        <w:pStyle w:val="BodyText"/>
        <w:jc w:val="start"/>
        <w:rPr>
          <w:rFonts w:ascii="Courier New" w:hAnsi="Courier New" w:cs="Courier New"/>
        </w:rPr>
      </w:pPr>
      <w:r>
        <w:rPr>
          <w:rFonts w:cs="Courier New" w:ascii="Courier New" w:hAnsi="Courier New"/>
        </w:rPr>
        <w:t xml:space="preserve">Avista Energy is in the business of, among other things, buying and selling energy.  The CalPX operates the failed wholesale electricity market in California.  Avista Energy was a participant in that market.  The CalPX owes contractual and fiduciary duties to all participants, including Avista Energy. </w:t>
      </w:r>
    </w:p>
    <w:p>
      <w:pPr>
        <w:pStyle w:val="Heading2"/>
        <w:rPr>
          <w:rFonts w:ascii="Courier New" w:hAnsi="Courier New" w:cs="Courier New"/>
        </w:rPr>
      </w:pPr>
      <w:r>
        <w:rPr>
          <w:rFonts w:cs="Courier New" w:ascii="Courier New" w:hAnsi="Courier New"/>
        </w:rPr>
        <w:t xml:space="preserve">Probability of Success on the Merits  </w:t>
      </w:r>
    </w:p>
    <w:p>
      <w:pPr>
        <w:pStyle w:val="BodyText"/>
        <w:jc w:val="start"/>
        <w:rPr>
          <w:rFonts w:ascii="Courier New" w:hAnsi="Courier New" w:cs="Courier New"/>
        </w:rPr>
      </w:pPr>
      <w:r>
        <w:rPr>
          <w:rFonts w:cs="Courier New" w:ascii="Courier New" w:hAnsi="Courier New"/>
        </w:rPr>
        <w:t xml:space="preserve">Avista Energy is likely to succeed on the merits because the CalPX has breached and is breaching its contractual and fiduciary obligations, and is converting and threatening to convert Avista Energy’s property.  The CalPX has already converted $1,287,301 of Avista Energy’s funds to its own use.  </w:t>
      </w:r>
    </w:p>
    <w:p>
      <w:pPr>
        <w:pStyle w:val="BodyText"/>
        <w:jc w:val="start"/>
        <w:rPr/>
      </w:pPr>
      <w:r>
        <w:rPr>
          <w:rFonts w:cs="Courier New" w:ascii="Courier New" w:hAnsi="Courier New"/>
        </w:rPr>
        <w:t xml:space="preserve">In violation of its Participation Agreement with Avista Energy and its own Tariff, the CalPX failed to take the steps necessary to ensure that participants in the market who purchased electricity would be able to pay for it.  It failed to require all participants to demonstrate financial solvency and to post adequate security before trading in the CalPX markets.  To the contrary, the CalPX allowed the two largest participants in the market -- SCE and PG&amp;E -- to continue purchasing electricity with an unsecured line of credit long after it became apparent both were approaching insolvency and would not be able to pay their debts.  Sabey Decl., </w:t>
      </w:r>
      <w:r>
        <w:rPr>
          <w:rFonts w:cs="Courier New" w:ascii="Courier New" w:hAnsi="Courier New"/>
          <w:i/>
        </w:rPr>
        <w:t>passim</w:t>
      </w:r>
      <w:r>
        <w:rPr>
          <w:rFonts w:cs="Courier New" w:ascii="Courier New" w:hAnsi="Courier New"/>
        </w:rPr>
        <w:t>.</w:t>
      </w:r>
    </w:p>
    <w:p>
      <w:pPr>
        <w:pStyle w:val="BodyText"/>
        <w:jc w:val="start"/>
        <w:rPr>
          <w:rFonts w:ascii="Courier New" w:hAnsi="Courier New" w:cs="Courier New"/>
        </w:rPr>
      </w:pPr>
      <w:r>
        <w:rPr>
          <w:rFonts w:cs="Courier New" w:ascii="Courier New" w:hAnsi="Courier New"/>
        </w:rPr>
        <w:t xml:space="preserve">On January 18, 2001, SCE defaulted on a $215 million payment due the CalPX for the purchase of electricity in the market.  On February 1, 2001, PG&amp;E defaulted on a $611 million payment due. These defaults were not unexpected.  But because the CalPX had not required either utility to post sufficient collateral to cover their trading activities, the CalPX was unable to use the collateral to cover the defaults.  Then it failed to execute on hundreds of millions of dollars of long-term contracts held by the two utilities, and the Governor seized them under his emergency powers last week.  Then it failed to successfully draw on a pool performance bond that was supposed to protect non-defaulting participants.  </w:t>
      </w:r>
    </w:p>
    <w:p>
      <w:pPr>
        <w:pStyle w:val="BodyText"/>
        <w:jc w:val="start"/>
        <w:rPr/>
      </w:pPr>
      <w:r>
        <w:rPr>
          <w:rFonts w:cs="Courier New" w:ascii="Courier New" w:hAnsi="Courier New"/>
        </w:rPr>
        <w:t xml:space="preserve">Instead of taking steps to protect the non-defaulting participants, the CalPX prematurely implemented a procedure known as “charge-backs” under the PX Tariff.  Under this procedure, the CalPX issued assessments (“charge-back” invoices) to non-defaulting participants, based on their pro rata share of recent activity in the market.  In effect, the CalPX is now demanding that Avista Energy and others pay for the defaults of the public utilities and the shortfall in funds caused by the CalPX’s </w:t>
      </w:r>
      <w:r>
        <w:rPr>
          <w:rFonts w:cs="Courier New" w:ascii="Courier New" w:hAnsi="Courier New"/>
          <w:i/>
        </w:rPr>
        <w:t>own</w:t>
      </w:r>
      <w:r>
        <w:rPr>
          <w:rFonts w:cs="Courier New" w:ascii="Courier New" w:hAnsi="Courier New"/>
        </w:rPr>
        <w:t xml:space="preserve"> violation of the Participation Agreement and Tariff.  </w:t>
      </w:r>
    </w:p>
    <w:p>
      <w:pPr>
        <w:pStyle w:val="BodyText"/>
        <w:jc w:val="start"/>
        <w:rPr>
          <w:rFonts w:ascii="Courier New" w:hAnsi="Courier New" w:cs="Courier New"/>
        </w:rPr>
      </w:pPr>
      <w:r>
        <w:rPr>
          <w:rFonts w:cs="Courier New" w:ascii="Courier New" w:hAnsi="Courier New"/>
        </w:rPr>
        <w:t>On January 18, 2001, the CalPX issued a charge-back notice to Avista Energy in the amount of $1,270,807, and simultaneously withheld the amount from the funds it owed Avista Energy.  A few days later the CalPX issued another charge-back notice -- this time for $16,494.  Avista Energy paid under protest.  On January 26, 2001, Avista Energy terminated its Participation Agreement.  As a result, Avista Energy should no longer be subject to charge-backs.  Nonetheless, the CalPX continues to threaten Avista Energy with charge-backs, including one it expects to issue on February 8, 2001 for over $8 million.</w:t>
      </w:r>
    </w:p>
    <w:p>
      <w:pPr>
        <w:pStyle w:val="Heading2"/>
        <w:rPr>
          <w:rFonts w:ascii="Courier New" w:hAnsi="Courier New" w:cs="Courier New"/>
        </w:rPr>
      </w:pPr>
      <w:r>
        <w:rPr>
          <w:rFonts w:cs="Courier New" w:ascii="Courier New" w:hAnsi="Courier New"/>
        </w:rPr>
        <w:t xml:space="preserve">Irreparable Harm </w:t>
      </w:r>
    </w:p>
    <w:p>
      <w:pPr>
        <w:pStyle w:val="BodyText"/>
        <w:jc w:val="start"/>
        <w:rPr>
          <w:rFonts w:ascii="Courier New" w:hAnsi="Courier New" w:cs="Courier New"/>
        </w:rPr>
      </w:pPr>
      <w:r>
        <w:rPr>
          <w:rFonts w:cs="Courier New" w:ascii="Courier New" w:hAnsi="Courier New"/>
        </w:rPr>
        <w:t xml:space="preserve">Absent the requested relief, Avista Energy will likely suffer irreparable harm.  If it is forced to pay the charge-back amounts, it will suffer irreparable injury because it will never be able to recover those payments from the CalPX or anyone else.  A judgment for money damages against the CalPX would be worthless.  The CalPX is insolvent and will shortly be judgment-proof.  The CalPX purportedly intends to use Avista Energy’s payments to pay off its creditors, so those funds will disappear into the pockets of third parties. </w:t>
      </w:r>
    </w:p>
    <w:p>
      <w:pPr>
        <w:pStyle w:val="BodyText"/>
        <w:jc w:val="start"/>
        <w:rPr>
          <w:rFonts w:ascii="Courier New" w:hAnsi="Courier New" w:cs="Courier New"/>
        </w:rPr>
      </w:pPr>
      <w:r>
        <w:rPr>
          <w:rFonts w:cs="Courier New" w:ascii="Courier New" w:hAnsi="Courier New"/>
        </w:rPr>
        <w:t xml:space="preserve">On the other hand, if Avista Energy does not pay the charge-back amounts, the CalPX would declare Avista Energy in default and immediately draw down on its security.  The funds would be gone forever.  Avista Energy would be unable to recover money damages because the CalPX will have no assets.  Avista Energy will suffer other irreparable injury.  </w:t>
      </w:r>
    </w:p>
    <w:p>
      <w:pPr>
        <w:pStyle w:val="Heading2"/>
        <w:rPr>
          <w:rFonts w:ascii="Courier New" w:hAnsi="Courier New" w:cs="Courier New"/>
        </w:rPr>
      </w:pPr>
      <w:r>
        <w:rPr>
          <w:rFonts w:cs="Courier New" w:ascii="Courier New" w:hAnsi="Courier New"/>
        </w:rPr>
        <w:t xml:space="preserve">Balance of Hardships </w:t>
      </w:r>
    </w:p>
    <w:p>
      <w:pPr>
        <w:pStyle w:val="BodyText"/>
        <w:jc w:val="start"/>
        <w:rPr>
          <w:rFonts w:ascii="Courier New" w:hAnsi="Courier New" w:cs="Courier New"/>
        </w:rPr>
      </w:pPr>
      <w:r>
        <w:rPr>
          <w:rFonts w:cs="Courier New" w:ascii="Courier New" w:hAnsi="Courier New"/>
        </w:rPr>
        <w:t xml:space="preserve">The balance of hardships tips decidedly in favor of Avista Energy.  Granting immediate relief will cause no prejudice to the CalPX.  Avista Energy’s security is not in danger of disappearing.  The CalPX does not need the charge-back payments to operate; it suspended its operations effective January 31, 2001, and laid off nearly all of its employees. A temporary restraining order may even benefit the CalPX by giving it time to sort out competing claims and by heading off what is expected to be a barrage of lawsuits objecting to the charge-backs. On the other hand, absent the requested relief, Avista Energy will suffer irreparable injury as described herein.  </w:t>
      </w:r>
    </w:p>
    <w:p>
      <w:pPr>
        <w:pStyle w:val="Heading1"/>
        <w:rPr>
          <w:rFonts w:ascii="Courier New" w:hAnsi="Courier New" w:cs="Courier New"/>
        </w:rPr>
      </w:pPr>
      <w:r>
        <w:rPr>
          <w:rFonts w:cs="Courier New" w:ascii="Courier New" w:hAnsi="Courier New"/>
        </w:rPr>
        <w:t xml:space="preserve">PAPERS IN SUPPORT OF APPLICATION </w:t>
      </w:r>
    </w:p>
    <w:p>
      <w:pPr>
        <w:pStyle w:val="BodyText"/>
        <w:jc w:val="start"/>
        <w:rPr>
          <w:rFonts w:ascii="Courier New" w:hAnsi="Courier New" w:cs="Courier New"/>
        </w:rPr>
      </w:pPr>
      <w:r>
        <w:rPr>
          <w:rFonts w:cs="Courier New" w:ascii="Courier New" w:hAnsi="Courier New"/>
        </w:rPr>
        <w:t xml:space="preserve">This Application is based on the accompanying Memorandum of Points and Authorities, Declarations of Nolan A. Steiner and Andrew B. Sabey, and Request for Judicial Notice, the Complaint herein and such further evidence, argument and papers as may be presented to the Court.  </w:t>
      </w:r>
    </w:p>
    <w:p>
      <w:pPr>
        <w:pStyle w:val="Heading1"/>
        <w:rPr>
          <w:rFonts w:ascii="Courier New" w:hAnsi="Courier New" w:cs="Courier New"/>
        </w:rPr>
      </w:pPr>
      <w:r>
        <w:rPr>
          <w:rFonts w:cs="Courier New" w:ascii="Courier New" w:hAnsi="Courier New"/>
        </w:rPr>
        <w:t xml:space="preserve">notice of this ex parte application </w:t>
      </w:r>
    </w:p>
    <w:p>
      <w:pPr>
        <w:pStyle w:val="BodyText"/>
        <w:jc w:val="start"/>
        <w:rPr>
          <w:rFonts w:ascii="Courier New" w:hAnsi="Courier New" w:cs="Courier New"/>
        </w:rPr>
      </w:pPr>
      <w:r>
        <w:rPr>
          <w:rFonts w:cs="Courier New" w:ascii="Courier New" w:hAnsi="Courier New"/>
        </w:rPr>
        <w:t xml:space="preserve">As set forth in the accompanying Declaration of Andrew B. Sabey, notice of this application was given to Ben D. Whitwell, counsel for defendant the CalPX on February 7, 2001, at approximately 4:15 p.m., and a complete copy of the Application </w:t>
      </w:r>
      <w:r>
        <w:br w:type="page"/>
      </w:r>
    </w:p>
    <w:p>
      <w:pPr>
        <w:pStyle w:val="BodyText"/>
        <w:ind w:hanging="0" w:end="0"/>
        <w:jc w:val="start"/>
        <w:rPr>
          <w:rFonts w:ascii="Courier New" w:hAnsi="Courier New" w:cs="Courier New"/>
        </w:rPr>
      </w:pPr>
      <w:r>
        <w:rPr>
          <w:rFonts w:cs="Courier New" w:ascii="Courier New" w:hAnsi="Courier New"/>
        </w:rPr>
        <w:t>and other papers in support of the Application will be hand-served on Mr. Whitwell today.  A copy of the complaint is being served on the CalPX today.</w:t>
      </w:r>
    </w:p>
    <w:p>
      <w:pPr>
        <w:pStyle w:val="Date"/>
        <w:rPr>
          <w:rFonts w:ascii="Courier New" w:hAnsi="Courier New" w:cs="Courier New"/>
        </w:rPr>
      </w:pPr>
      <w:r>
        <w:rPr>
          <w:rFonts w:cs="Courier New" w:ascii="Courier New" w:hAnsi="Courier New"/>
        </w:rPr>
        <w:t>Dated: February 8, 2001</w:t>
      </w:r>
    </w:p>
    <w:p>
      <w:pPr>
        <w:pStyle w:val="SignatureBlock"/>
        <w:spacing w:before="0" w:after="720"/>
        <w:rPr/>
      </w:pPr>
      <w:r>
        <w:rPr>
          <w:rFonts w:cs="Courier New" w:ascii="Courier New" w:hAnsi="Courier New"/>
          <w:caps/>
        </w:rPr>
        <w:t>Morrison &amp; Foerster</w:t>
      </w:r>
      <w:r>
        <w:rPr>
          <w:rFonts w:cs="Courier New" w:ascii="Courier New" w:hAnsi="Courier New"/>
          <w:smallCaps/>
        </w:rPr>
        <w:t xml:space="preserve"> llp</w:t>
        <w:br/>
        <w:t>GORDON P. ERSPAMER</w:t>
        <w:br/>
        <w:t>DIANE E. PRITCHARD</w:t>
      </w:r>
      <w:r>
        <w:rPr>
          <w:rFonts w:cs="Courier New" w:ascii="Courier New" w:hAnsi="Courier New"/>
          <w:caps/>
        </w:rPr>
        <w:br/>
        <w:t>Andrew B. SABEY</w:t>
      </w:r>
    </w:p>
    <w:p>
      <w:pPr>
        <w:pStyle w:val="SignatureBlock"/>
        <w:rPr/>
      </w:pPr>
      <w:r>
        <w:rPr>
          <w:rFonts w:cs="Courier New" w:ascii="Courier New" w:hAnsi="Courier New"/>
        </w:rPr>
        <w:t>By:</w:t>
      </w:r>
      <w:r>
        <w:rPr>
          <w:rFonts w:cs="Courier New" w:ascii="Courier New" w:hAnsi="Courier New"/>
          <w:u w:val="single"/>
        </w:rPr>
        <w:tab/>
      </w:r>
    </w:p>
    <w:p>
      <w:pPr>
        <w:pStyle w:val="ClientIndented"/>
        <w:rPr>
          <w:rFonts w:ascii="Courier New" w:hAnsi="Courier New" w:cs="Courier New"/>
        </w:rPr>
      </w:pPr>
      <w:r>
        <w:rPr>
          <w:rFonts w:cs="Courier New" w:ascii="Courier New" w:hAnsi="Courier New"/>
        </w:rPr>
        <w:t>Diane E. Pritchard</w:t>
      </w:r>
    </w:p>
    <w:p>
      <w:pPr>
        <w:pStyle w:val="ClientIndented"/>
        <w:rPr>
          <w:rFonts w:ascii="Courier New" w:hAnsi="Courier New" w:cs="Courier New"/>
        </w:rPr>
      </w:pPr>
      <w:r>
        <w:rPr>
          <w:rFonts w:cs="Courier New" w:ascii="Courier New" w:hAnsi="Courier New"/>
        </w:rPr>
      </w:r>
    </w:p>
    <w:p>
      <w:pPr>
        <w:pStyle w:val="ClientIndented"/>
        <w:rPr>
          <w:rFonts w:ascii="Courier New" w:hAnsi="Courier New" w:cs="Courier New"/>
        </w:rPr>
      </w:pPr>
      <w:r>
        <w:rPr>
          <w:rFonts w:cs="Courier New" w:ascii="Courier New" w:hAnsi="Courier New"/>
        </w:rPr>
        <w:t>Attorneys for Plaintiff</w:t>
      </w:r>
    </w:p>
    <w:p>
      <w:pPr>
        <w:pStyle w:val="ClientIndented"/>
        <w:rPr>
          <w:rFonts w:ascii="Courier New" w:hAnsi="Courier New" w:cs="Courier New"/>
        </w:rPr>
      </w:pPr>
      <w:r>
        <w:rPr>
          <w:rFonts w:cs="Courier New" w:ascii="Courier New" w:hAnsi="Courier New"/>
          <w:caps/>
        </w:rPr>
        <w:t>AVISTA ENERGY, INC.</w:t>
      </w:r>
    </w:p>
    <w:p>
      <w:pPr>
        <w:pStyle w:val="Normal"/>
        <w:rPr>
          <w:rFonts w:ascii="Courier New" w:hAnsi="Courier New" w:cs="Courier New"/>
        </w:rPr>
      </w:pPr>
      <w:r>
        <w:rPr>
          <w:rFonts w:cs="Courier New" w:ascii="Courier New" w:hAnsi="Courier New"/>
        </w:rPr>
      </w:r>
    </w:p>
    <w:sectPr>
      <w:headerReference w:type="default" r:id="rId6"/>
      <w:headerReference w:type="first" r:id="rId7"/>
      <w:footerReference w:type="default" r:id="rId8"/>
      <w:footerReference w:type="first" r:id="rId9"/>
      <w:type w:val="nextPage"/>
      <w:pgSz w:w="12240" w:h="15840"/>
      <w:pgMar w:left="2088" w:right="720" w:gutter="0" w:header="475" w:top="1267" w:footer="504" w:bottom="1325"/>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860" w:leader="none"/>
        <w:tab w:val="center" w:pos="7920" w:leader="none"/>
        <w:tab w:val="right" w:pos="8640" w:leader="none"/>
      </w:tabs>
      <w:rPr>
        <w:rStyle w:val="PageNumber"/>
        <w:rFonts w:ascii="Courier New" w:hAnsi="Courier New" w:cs="Courier New"/>
        <w:smallCaps/>
      </w:rPr>
    </w:pPr>
    <w:r>
      <w:rPr>
        <w:rFonts w:cs="Courier New" w:ascii="Courier New" w:hAnsi="Courier New"/>
        <w:smallCaps/>
        <w:sz w:val="20"/>
      </w:rPr>
      <w:t>case no. CV 01-01244 MMM (Mcx)</w:t>
      <w:tab/>
    </w: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0</w:t>
    </w:r>
    <w:r>
      <w:rPr>
        <w:rStyle w:val="PageNumber"/>
        <w:rFonts w:cs="Courier New" w:ascii="Courier New" w:hAnsi="Courier New"/>
      </w:rPr>
      <w:fldChar w:fldCharType="end"/>
    </w:r>
  </w:p>
  <w:p>
    <w:pPr>
      <w:pStyle w:val="Footer"/>
      <w:tabs>
        <w:tab w:val="clear" w:pos="4320"/>
        <w:tab w:val="center" w:pos="4860" w:leader="none"/>
        <w:tab w:val="center" w:pos="7920" w:leader="none"/>
        <w:tab w:val="right" w:pos="8640" w:leader="none"/>
      </w:tabs>
      <w:rPr/>
    </w:pPr>
    <w:r>
      <w:rPr>
        <w:rStyle w:val="PageNumber"/>
        <w:rFonts w:cs="Courier New" w:ascii="Courier New" w:hAnsi="Courier New"/>
        <w:smallCaps/>
        <w:sz w:val="20"/>
      </w:rPr>
      <w:t>application for tro and osc re preliminary injunction</w:t>
    </w:r>
  </w:p>
  <w:p>
    <w:pPr>
      <w:pStyle w:val="Footer"/>
      <w:spacing w:lineRule="atLeast" w:line="1"/>
      <w:rPr/>
    </w:pPr>
    <w:r>
      <w:rPr>
        <w:rStyle w:val="PageNumber"/>
        <w:rFonts w:cs="Courier New" w:ascii="Courier New" w:hAnsi="Courier New"/>
        <w:smallCaps/>
        <w:vanish/>
        <w:sz w:val="20"/>
      </w:rPr>
      <w:t>|</w:t>
    </w:r>
    <w:r>
      <w:rPr>
        <w:rStyle w:val="PageNumber"/>
        <w:rFonts w:cs="Courier New" w:ascii="Courier New" w:hAnsi="Courier New"/>
        <w:smallCaps/>
        <w:sz w:val="20"/>
      </w:rPr>
      <w:t>oc-176268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860" w:leader="none"/>
        <w:tab w:val="center" w:pos="7920" w:leader="none"/>
        <w:tab w:val="right" w:pos="8640" w:leader="none"/>
      </w:tabs>
      <w:rPr>
        <w:rStyle w:val="PageNumber"/>
        <w:rFonts w:ascii="Courier New" w:hAnsi="Courier New" w:cs="Courier New"/>
        <w:smallCaps/>
      </w:rPr>
    </w:pPr>
    <w:r>
      <w:rPr>
        <w:rFonts w:cs="Courier New" w:ascii="Courier New" w:hAnsi="Courier New"/>
        <w:smallCaps/>
        <w:sz w:val="20"/>
      </w:rPr>
      <w:t>case no. CV 01-01244 MMM (Mcx)</w:t>
    </w:r>
  </w:p>
  <w:p>
    <w:pPr>
      <w:pStyle w:val="Footer"/>
      <w:tabs>
        <w:tab w:val="clear" w:pos="4320"/>
        <w:tab w:val="center" w:pos="4860" w:leader="none"/>
        <w:tab w:val="center" w:pos="7920" w:leader="none"/>
        <w:tab w:val="right" w:pos="8640" w:leader="none"/>
      </w:tabs>
      <w:rPr/>
    </w:pPr>
    <w:r>
      <w:rPr>
        <w:rStyle w:val="PageNumber"/>
        <w:rFonts w:cs="Courier New" w:ascii="Courier New" w:hAnsi="Courier New"/>
        <w:smallCaps/>
        <w:sz w:val="20"/>
      </w:rPr>
      <w:t>application for tro and osc re preliminary injunction</w:t>
    </w:r>
  </w:p>
  <w:p>
    <w:pPr>
      <w:pStyle w:val="Footer"/>
      <w:spacing w:lineRule="atLeast" w:line="1"/>
      <w:rPr/>
    </w:pPr>
    <w:r>
      <w:rPr>
        <w:rStyle w:val="PageNumber"/>
        <w:rFonts w:cs="Courier New" w:ascii="Courier New" w:hAnsi="Courier New"/>
        <w:smallCaps/>
        <w:vanish/>
        <w:sz w:val="20"/>
      </w:rPr>
      <w:t>|</w:t>
    </w:r>
    <w:r>
      <w:rPr>
        <w:rStyle w:val="PageNumber"/>
        <w:rFonts w:cs="Courier New" w:ascii="Courier New" w:hAnsi="Courier New"/>
        <w:smallCaps/>
        <w:sz w:val="20"/>
      </w:rPr>
      <w:t>oc-176268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860" w:leader="none"/>
        <w:tab w:val="center" w:pos="7920" w:leader="none"/>
        <w:tab w:val="right" w:pos="8640" w:leader="none"/>
      </w:tabs>
      <w:rPr/>
    </w:pPr>
    <w:r>
      <w:rPr>
        <w:rFonts w:cs="Courier New" w:ascii="Courier New" w:hAnsi="Courier New"/>
        <w:smallCaps/>
        <w:sz w:val="20"/>
      </w:rPr>
      <w:t>case no. CV 01-01244 MMM (Mcx)</w:t>
      <w:tab/>
    </w: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8</w:t>
    </w:r>
    <w:r>
      <w:rPr>
        <w:rStyle w:val="PageNumber"/>
        <w:rFonts w:cs="Courier New" w:ascii="Courier New" w:hAnsi="Courier New"/>
      </w:rPr>
      <w:fldChar w:fldCharType="end"/>
    </w:r>
  </w:p>
  <w:p>
    <w:pPr>
      <w:pStyle w:val="Footer"/>
      <w:tabs>
        <w:tab w:val="clear" w:pos="4320"/>
        <w:tab w:val="center" w:pos="4860" w:leader="none"/>
        <w:tab w:val="center" w:pos="7920" w:leader="none"/>
        <w:tab w:val="right" w:pos="8640" w:leader="none"/>
      </w:tabs>
      <w:rPr/>
    </w:pPr>
    <w:r>
      <w:rPr>
        <w:rStyle w:val="PageNumber"/>
        <w:rFonts w:cs="Courier New" w:ascii="Courier New" w:hAnsi="Courier New"/>
        <w:smallCaps/>
        <w:sz w:val="20"/>
      </w:rPr>
      <w:t>application for tro and osc re preliminary injunction</w:t>
    </w:r>
  </w:p>
  <w:p>
    <w:pPr>
      <w:pStyle w:val="Footer"/>
      <w:spacing w:lineRule="atLeast" w:line="1"/>
      <w:rPr/>
    </w:pPr>
    <w:r>
      <w:rPr>
        <w:rStyle w:val="PageNumber"/>
        <w:rFonts w:cs="Courier New" w:ascii="Courier New" w:hAnsi="Courier New"/>
        <w:smallCaps/>
        <w:vanish/>
        <w:sz w:val="20"/>
      </w:rPr>
      <w:t>|</w:t>
    </w:r>
    <w:r>
      <w:rPr>
        <w:rStyle w:val="PageNumber"/>
        <w:rFonts w:cs="Courier New" w:ascii="Courier New" w:hAnsi="Courier New"/>
        <w:smallCaps/>
        <w:sz w:val="20"/>
      </w:rPr>
      <w:t>oc-176268</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860" w:leader="none"/>
        <w:tab w:val="center" w:pos="7920" w:leader="none"/>
        <w:tab w:val="right" w:pos="8640" w:leader="none"/>
      </w:tabs>
      <w:rPr>
        <w:rStyle w:val="PageNumber"/>
        <w:rFonts w:ascii="Courier New" w:hAnsi="Courier New" w:cs="Courier New"/>
        <w:smallCaps/>
      </w:rPr>
    </w:pPr>
    <w:r>
      <w:rPr>
        <w:rFonts w:cs="Courier New" w:ascii="Courier New" w:hAnsi="Courier New"/>
        <w:smallCaps/>
        <w:sz w:val="20"/>
      </w:rPr>
      <w:t>case no. CV 01-01244 MMM (Mcx)</w:t>
      <w:tab/>
    </w: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2</w:t>
    </w:r>
    <w:r>
      <w:rPr>
        <w:rStyle w:val="PageNumber"/>
        <w:rFonts w:cs="Courier New" w:ascii="Courier New" w:hAnsi="Courier New"/>
      </w:rPr>
      <w:fldChar w:fldCharType="end"/>
    </w:r>
  </w:p>
  <w:p>
    <w:pPr>
      <w:pStyle w:val="Footer"/>
      <w:tabs>
        <w:tab w:val="clear" w:pos="4320"/>
        <w:tab w:val="center" w:pos="4860" w:leader="none"/>
        <w:tab w:val="center" w:pos="7920" w:leader="none"/>
        <w:tab w:val="right" w:pos="8640" w:leader="none"/>
      </w:tabs>
      <w:rPr/>
    </w:pPr>
    <w:r>
      <w:rPr>
        <w:rStyle w:val="PageNumber"/>
        <w:rFonts w:cs="Courier New" w:ascii="Courier New" w:hAnsi="Courier New"/>
        <w:smallCaps/>
        <w:sz w:val="20"/>
      </w:rPr>
      <w:t>application for tro and osc re preliminary injunction</w:t>
    </w:r>
  </w:p>
  <w:p>
    <w:pPr>
      <w:pStyle w:val="Footer"/>
      <w:spacing w:lineRule="atLeast" w:line="1"/>
      <w:rPr/>
    </w:pPr>
    <w:r>
      <w:rPr>
        <w:rStyle w:val="PageNumber"/>
        <w:rFonts w:cs="Courier New" w:ascii="Courier New" w:hAnsi="Courier New"/>
        <w:smallCaps/>
        <w:vanish/>
        <w:sz w:val="20"/>
      </w:rPr>
      <w:t>|</w:t>
    </w:r>
    <w:r>
      <w:rPr>
        <w:rStyle w:val="PageNumber"/>
        <w:rFonts w:cs="Courier New" w:ascii="Courier New" w:hAnsi="Courier New"/>
        <w:smallCaps/>
        <w:sz w:val="20"/>
      </w:rPr>
      <w:t>oc-176268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6560820" cy="14605"/>
              <wp:effectExtent l="0" t="0" r="0" b="0"/>
              <wp:wrapNone/>
              <wp:docPr id="1" name="Frame2"/>
              <a:graphic xmlns:a="http://schemas.openxmlformats.org/drawingml/2006/main">
                <a:graphicData uri="http://schemas.microsoft.com/office/word/2010/wordprocessingShape">
                  <wps:wsp>
                    <wps:cNvSpPr txBox="1"/>
                    <wps:spPr>
                      <a:xfrm>
                        <a:off x="0" y="0"/>
                        <a:ext cx="6560820" cy="14605"/>
                      </a:xfrm>
                      <a:prstGeom prst="rect"/>
                      <a:solidFill>
                        <a:srgbClr val="FFFFFF"/>
                      </a:solidFill>
                    </wps:spPr>
                    <wps:txbx>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before="600" w:after="0"/>
                                  <w:rPr>
                                    <w:rFonts w:ascii="Courier New" w:hAnsi="Courier New" w:cs="Courier New"/>
                                  </w:rPr>
                                </w:pPr>
                                <w:bookmarkStart w:id="8" w:name="LineNo"/>
                                <w:bookmarkEnd w:id="8"/>
                                <w:r>
                                  <w:rPr>
                                    <w:rFonts w:cs="Courier New" w:ascii="Courier New" w:hAnsi="Courier New"/>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rFonts w:ascii="Courier New" w:hAnsi="Courier New" w:cs="Courier New"/>
                                  </w:rPr>
                                </w:pPr>
                                <w:r>
                                  <w:rPr>
                                    <w:rFonts w:cs="Courier New" w:ascii="Courier New" w:hAnsi="Courier New"/>
                                  </w:rPr>
                                </w:r>
                              </w:p>
                            </w:tc>
                          </w:tr>
                        </w:tbl>
                      </w:txbxContent>
                    </wps:txbx>
                    <wps:bodyPr anchor="t" lIns="0" tIns="0" rIns="0" bIns="0">
                      <a:noAutofit/>
                    </wps:bodyPr>
                  </wps:wsp>
                </a:graphicData>
              </a:graphic>
            </wp:anchor>
          </w:drawing>
        </mc:Choice>
        <mc:Fallback>
          <w:pict>
            <v:rect style="position:absolute;rotation:-0;width:516.6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before="600" w:after="0"/>
                            <w:rPr>
                              <w:rFonts w:ascii="Courier New" w:hAnsi="Courier New" w:cs="Courier New"/>
                            </w:rPr>
                          </w:pPr>
                          <w:bookmarkStart w:id="9" w:name="LineNo"/>
                          <w:bookmarkEnd w:id="9"/>
                          <w:r>
                            <w:rPr>
                              <w:rFonts w:cs="Courier New" w:ascii="Courier New" w:hAnsi="Courier New"/>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rFonts w:ascii="Courier New" w:hAnsi="Courier New" w:cs="Courier New"/>
                            </w:rPr>
                          </w:pPr>
                          <w:r>
                            <w:rPr>
                              <w:rFonts w:cs="Courier New" w:ascii="Courier New" w:hAnsi="Courier New"/>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
              <wp:simplePos x="0" y="0"/>
              <wp:positionH relativeFrom="column">
                <wp:align>left</wp:align>
              </wp:positionH>
              <wp:positionV relativeFrom="line">
                <wp:posOffset>635</wp:posOffset>
              </wp:positionV>
              <wp:extent cx="6560820" cy="9448800"/>
              <wp:effectExtent l="0" t="0" r="0" b="0"/>
              <wp:wrapNone/>
              <wp:docPr id="2" name="Frame1"/>
              <a:graphic xmlns:a="http://schemas.openxmlformats.org/drawingml/2006/main">
                <a:graphicData uri="http://schemas.microsoft.com/office/word/2010/wordprocessingShape">
                  <wps:wsp>
                    <wps:cNvSpPr txBox="1"/>
                    <wps:spPr>
                      <a:xfrm>
                        <a:off x="0" y="0"/>
                        <a:ext cx="6560820" cy="9448800"/>
                      </a:xfrm>
                      <a:prstGeom prst="rect"/>
                      <a:solidFill>
                        <a:srgbClr val="FFFFFF"/>
                      </a:solidFill>
                    </wps:spPr>
                    <wps:txbx>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before="600" w:after="0"/>
                                  <w:rPr>
                                    <w:rFonts w:ascii="Courier New" w:hAnsi="Courier New" w:cs="Courier New"/>
                                  </w:rPr>
                                </w:pPr>
                                <w:r>
                                  <w:rPr>
                                    <w:rFonts w:cs="Courier New" w:ascii="Courier New" w:hAnsi="Courier New"/>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rFonts w:ascii="Courier New" w:hAnsi="Courier New" w:cs="Courier New"/>
                                  </w:rPr>
                                </w:pPr>
                                <w:r>
                                  <w:rPr>
                                    <w:rFonts w:cs="Courier New" w:ascii="Courier New" w:hAnsi="Courier New"/>
                                  </w:rPr>
                                </w:r>
                              </w:p>
                            </w:tc>
                          </w:tr>
                        </w:tbl>
                      </w:txbxContent>
                    </wps:txbx>
                    <wps:bodyPr anchor="t" lIns="0" tIns="0" rIns="0" bIns="0">
                      <a:noAutofit/>
                    </wps:bodyPr>
                  </wps:wsp>
                </a:graphicData>
              </a:graphic>
            </wp:anchor>
          </w:drawing>
        </mc:Choice>
        <mc:Fallback>
          <w:pict>
            <v:rect style="position:absolute;rotation:-0;width:516.6pt;height:744pt;mso-wrap-distance-left:0pt;mso-wrap-distance-right:0pt;mso-wrap-distance-top:0pt;mso-wrap-distance-bottom:0pt;margin-top:0pt;mso-position-vertical:top;mso-position-vertical-relative:text;margin-left:-9.05pt;mso-position-horizontal:left;mso-position-horizontal-relative:text">
              <v:textbox inset="0in,0in,0in,0in">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before="600" w:after="0"/>
                            <w:rPr>
                              <w:rFonts w:ascii="Courier New" w:hAnsi="Courier New" w:cs="Courier New"/>
                            </w:rPr>
                          </w:pPr>
                          <w:r>
                            <w:rPr>
                              <w:rFonts w:cs="Courier New" w:ascii="Courier New" w:hAnsi="Courier New"/>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rFonts w:ascii="Courier New" w:hAnsi="Courier New" w:cs="Courier New"/>
                            </w:rPr>
                          </w:pPr>
                          <w:r>
                            <w:rPr>
                              <w:rFonts w:cs="Courier New" w:ascii="Courier New" w:hAnsi="Courier New"/>
                            </w:rPr>
                          </w:r>
                        </w:p>
                      </w:tc>
                    </w:tr>
                  </w:tbl>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9">
              <wp:simplePos x="0" y="0"/>
              <wp:positionH relativeFrom="column">
                <wp:align>left</wp:align>
              </wp:positionH>
              <wp:positionV relativeFrom="line">
                <wp:posOffset>635</wp:posOffset>
              </wp:positionV>
              <wp:extent cx="6560820" cy="9601200"/>
              <wp:effectExtent l="0" t="0" r="0" b="0"/>
              <wp:wrapNone/>
              <wp:docPr id="3" name="Frame4"/>
              <a:graphic xmlns:a="http://schemas.openxmlformats.org/drawingml/2006/main">
                <a:graphicData uri="http://schemas.microsoft.com/office/word/2010/wordprocessingShape">
                  <wps:wsp>
                    <wps:cNvSpPr txBox="1"/>
                    <wps:spPr>
                      <a:xfrm>
                        <a:off x="0" y="0"/>
                        <a:ext cx="6560820" cy="9601200"/>
                      </a:xfrm>
                      <a:prstGeom prst="rect"/>
                      <a:solidFill>
                        <a:srgbClr val="FFFFFF"/>
                      </a:solidFill>
                    </wps:spPr>
                    <wps:txbx>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before="600" w:after="0"/>
                                  <w:rPr>
                                    <w:rFonts w:ascii="Courier New" w:hAnsi="Courier New" w:cs="Courier New"/>
                                  </w:rPr>
                                </w:pPr>
                                <w:r>
                                  <w:rPr>
                                    <w:rFonts w:cs="Courier New" w:ascii="Courier New" w:hAnsi="Courier New"/>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rFonts w:ascii="Courier New" w:hAnsi="Courier New" w:cs="Courier New"/>
                                  </w:rPr>
                                </w:pPr>
                                <w:r>
                                  <w:rPr>
                                    <w:rFonts w:cs="Courier New" w:ascii="Courier New" w:hAnsi="Courier New"/>
                                  </w:rPr>
                                </w:r>
                              </w:p>
                            </w:tc>
                          </w:tr>
                        </w:tbl>
                        <w:p>
                          <w:pPr>
                            <w:pStyle w:val="Header"/>
                            <w:rPr/>
                          </w:pPr>
                          <w:r>
                            <w:rPr/>
                          </w:r>
                        </w:p>
                      </w:txbxContent>
                    </wps:txbx>
                    <wps:bodyPr anchor="t" lIns="0" tIns="0" rIns="0" bIns="0">
                      <a:noAutofit/>
                    </wps:bodyPr>
                  </wps:wsp>
                </a:graphicData>
              </a:graphic>
            </wp:anchor>
          </w:drawing>
        </mc:Choice>
        <mc:Fallback>
          <w:pict>
            <v:rect style="position:absolute;rotation:-0;width:516.6pt;height:756pt;mso-wrap-distance-left:0pt;mso-wrap-distance-right:0pt;mso-wrap-distance-top:0pt;mso-wrap-distance-bottom:0pt;margin-top:0pt;mso-position-vertical:top;mso-position-vertical-relative:text;margin-left:-9.05pt;mso-position-horizontal:left;mso-position-horizontal-relative:text">
              <v:textbox inset="0in,0in,0in,0in">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before="600" w:after="0"/>
                            <w:rPr>
                              <w:rFonts w:ascii="Courier New" w:hAnsi="Courier New" w:cs="Courier New"/>
                            </w:rPr>
                          </w:pPr>
                          <w:r>
                            <w:rPr>
                              <w:rFonts w:cs="Courier New" w:ascii="Courier New" w:hAnsi="Courier New"/>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rFonts w:ascii="Courier New" w:hAnsi="Courier New" w:cs="Courier New"/>
                            </w:rPr>
                          </w:pPr>
                          <w:r>
                            <w:rPr>
                              <w:rFonts w:cs="Courier New" w:ascii="Courier New" w:hAnsi="Courier New"/>
                            </w:rPr>
                          </w:r>
                        </w:p>
                      </w:tc>
                    </w:tr>
                  </w:tbl>
                  <w:p>
                    <w:pPr>
                      <w:pStyle w:val="Header"/>
                      <w:rPr/>
                    </w:pPr>
                    <w:r>
                      <w:rPr/>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560820" cy="9601200"/>
              <wp:effectExtent l="0" t="0" r="0" b="0"/>
              <wp:wrapNone/>
              <wp:docPr id="4" name="Frame3"/>
              <a:graphic xmlns:a="http://schemas.openxmlformats.org/drawingml/2006/main">
                <a:graphicData uri="http://schemas.microsoft.com/office/word/2010/wordprocessingShape">
                  <wps:wsp>
                    <wps:cNvSpPr txBox="1"/>
                    <wps:spPr>
                      <a:xfrm>
                        <a:off x="0" y="0"/>
                        <a:ext cx="6560820" cy="9601200"/>
                      </a:xfrm>
                      <a:prstGeom prst="rect"/>
                      <a:solidFill>
                        <a:srgbClr val="FFFFFF"/>
                      </a:solidFill>
                    </wps:spPr>
                    <wps:txbx>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before="600" w:after="0"/>
                                  <w:rPr>
                                    <w:rFonts w:ascii="Courier New" w:hAnsi="Courier New" w:cs="Courier New"/>
                                  </w:rPr>
                                </w:pPr>
                                <w:r>
                                  <w:rPr>
                                    <w:rFonts w:cs="Courier New" w:ascii="Courier New" w:hAnsi="Courier New"/>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rFonts w:ascii="Courier New" w:hAnsi="Courier New" w:cs="Courier New"/>
                                  </w:rPr>
                                </w:pPr>
                                <w:r>
                                  <w:rPr>
                                    <w:rFonts w:cs="Courier New" w:ascii="Courier New" w:hAnsi="Courier New"/>
                                  </w:rPr>
                                </w:r>
                              </w:p>
                            </w:tc>
                          </w:tr>
                        </w:tbl>
                        <w:p>
                          <w:pPr>
                            <w:pStyle w:val="Header"/>
                            <w:rPr/>
                          </w:pPr>
                          <w:r>
                            <w:rPr/>
                          </w:r>
                        </w:p>
                      </w:txbxContent>
                    </wps:txbx>
                    <wps:bodyPr anchor="t" lIns="0" tIns="0" rIns="0" bIns="0">
                      <a:noAutofit/>
                    </wps:bodyPr>
                  </wps:wsp>
                </a:graphicData>
              </a:graphic>
            </wp:anchor>
          </w:drawing>
        </mc:Choice>
        <mc:Fallback>
          <w:pict>
            <v:rect style="position:absolute;rotation:-0;width:516.6pt;height:756pt;mso-wrap-distance-left:0pt;mso-wrap-distance-right:0pt;mso-wrap-distance-top:0pt;mso-wrap-distance-bottom:0pt;margin-top:0pt;mso-position-vertical:top;mso-position-vertical-relative:text;margin-left:-9.05pt;mso-position-horizontal:left;mso-position-horizontal-relative:text">
              <v:textbox inset="0in,0in,0in,0in">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before="600" w:after="0"/>
                            <w:rPr>
                              <w:rFonts w:ascii="Courier New" w:hAnsi="Courier New" w:cs="Courier New"/>
                            </w:rPr>
                          </w:pPr>
                          <w:r>
                            <w:rPr>
                              <w:rFonts w:cs="Courier New" w:ascii="Courier New" w:hAnsi="Courier New"/>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rFonts w:ascii="Courier New" w:hAnsi="Courier New" w:cs="Courier New"/>
                            </w:rPr>
                          </w:pPr>
                          <w:r>
                            <w:rPr>
                              <w:rFonts w:cs="Courier New" w:ascii="Courier New" w:hAnsi="Courier New"/>
                            </w:rPr>
                          </w:r>
                        </w:p>
                      </w:tc>
                    </w:tr>
                  </w:tbl>
                  <w:p>
                    <w:pPr>
                      <w:pStyle w:val="Header"/>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1440" w:hanging="360"/>
      </w:pPr>
    </w:lvl>
    <w:lvl w:ilvl="1">
      <w:start w:val="1"/>
      <w:pStyle w:val="Heading2"/>
      <w:numFmt w:val="upperLetter"/>
      <w:lvlText w:val="%2."/>
      <w:lvlJc w:val="start"/>
      <w:pPr>
        <w:tabs>
          <w:tab w:val="num" w:pos="360"/>
        </w:tabs>
        <w:ind w:start="2160" w:hanging="360"/>
      </w:pPr>
    </w:lvl>
    <w:lvl w:ilvl="2">
      <w:start w:val="1"/>
      <w:pStyle w:val="Heading3"/>
      <w:numFmt w:val="decimal"/>
      <w:lvlText w:val="%3."/>
      <w:lvlJc w:val="start"/>
      <w:pPr>
        <w:tabs>
          <w:tab w:val="num" w:pos="360"/>
        </w:tabs>
        <w:ind w:start="2880" w:hanging="360"/>
      </w:pPr>
    </w:lvl>
    <w:lvl w:ilvl="3">
      <w:start w:val="1"/>
      <w:pStyle w:val="Heading4"/>
      <w:numFmt w:val="lowerLetter"/>
      <w:lvlText w:val="%4."/>
      <w:lvlJc w:val="start"/>
      <w:pPr>
        <w:tabs>
          <w:tab w:val="num" w:pos="360"/>
        </w:tabs>
        <w:ind w:start="3600" w:hanging="360"/>
      </w:pPr>
    </w:lvl>
    <w:lvl w:ilvl="4">
      <w:start w:val="1"/>
      <w:pStyle w:val="Heading5"/>
      <w:numFmt w:val="lowerRoman"/>
      <w:lvlText w:val="%5."/>
      <w:lvlJc w:val="start"/>
      <w:pPr>
        <w:tabs>
          <w:tab w:val="num" w:pos="360"/>
        </w:tabs>
        <w:ind w:start="4320" w:hanging="360"/>
      </w:pPr>
    </w:lvl>
    <w:lvl w:ilvl="5">
      <w:start w:val="1"/>
      <w:pStyle w:val="Heading6"/>
      <w:numFmt w:val="lowerLetter"/>
      <w:lvlText w:val="(%6)"/>
      <w:lvlJc w:val="start"/>
      <w:pPr>
        <w:tabs>
          <w:tab w:val="num" w:pos="360"/>
        </w:tabs>
        <w:ind w:start="3240" w:hanging="360"/>
      </w:pPr>
    </w:lvl>
    <w:lvl w:ilvl="6">
      <w:start w:val="1"/>
      <w:pStyle w:val="Heading7"/>
      <w:numFmt w:val="lowerRoman"/>
      <w:lvlText w:val="(%7)"/>
      <w:lvlJc w:val="start"/>
      <w:pPr>
        <w:tabs>
          <w:tab w:val="num" w:pos="360"/>
        </w:tabs>
        <w:ind w:start="3600" w:hanging="360"/>
      </w:pPr>
    </w:lvl>
    <w:lvl w:ilvl="7">
      <w:start w:val="1"/>
      <w:pStyle w:val="Heading8"/>
      <w:numFmt w:val="lowerLetter"/>
      <w:lvlText w:val="(%8)"/>
      <w:lvlJc w:val="start"/>
      <w:pPr>
        <w:tabs>
          <w:tab w:val="num" w:pos="360"/>
        </w:tabs>
        <w:ind w:start="3960" w:hanging="360"/>
      </w:pPr>
    </w:lvl>
    <w:lvl w:ilvl="8">
      <w:start w:val="1"/>
      <w:pStyle w:val="Heading9"/>
      <w:numFmt w:val="lowerRoman"/>
      <w:lvlText w:val="(%9)"/>
      <w:lvlJc w:val="start"/>
      <w:pPr>
        <w:tabs>
          <w:tab w:val="num" w:pos="360"/>
        </w:tabs>
        <w:ind w:start="4320" w:hanging="360"/>
      </w:pPr>
    </w:lvl>
  </w:abstractNum>
  <w:abstractNum w:abstractNumId="2">
    <w:lvl w:ilvl="0">
      <w:start w:val="1"/>
      <w:numFmt w:val="decimal"/>
      <w:lvlText w:val="%1."/>
      <w:lvlJc w:val="start"/>
      <w:pPr>
        <w:tabs>
          <w:tab w:val="num" w:pos="1080"/>
        </w:tabs>
        <w:ind w:start="0" w:firstLine="720"/>
      </w:pPr>
      <w:rPr>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240" w:after="0"/>
      <w:ind w:hanging="720" w:start="0" w:end="720"/>
      <w:outlineLvl w:val="0"/>
    </w:pPr>
    <w:rPr>
      <w:b/>
      <w:caps/>
    </w:rPr>
  </w:style>
  <w:style w:type="paragraph" w:styleId="Heading2">
    <w:name w:val="heading 2"/>
    <w:basedOn w:val="Heading1"/>
    <w:next w:val="BodyText"/>
    <w:qFormat/>
    <w:pPr>
      <w:numPr>
        <w:ilvl w:val="1"/>
        <w:numId w:val="1"/>
      </w:numPr>
      <w:ind w:hanging="720" w:start="0" w:end="720"/>
      <w:outlineLvl w:val="1"/>
    </w:pPr>
    <w:rPr>
      <w:caps w:val="false"/>
      <w:smallCaps w:val="false"/>
    </w:rPr>
  </w:style>
  <w:style w:type="paragraph" w:styleId="Heading3">
    <w:name w:val="heading 3"/>
    <w:basedOn w:val="Heading2"/>
    <w:next w:val="BodyText"/>
    <w:qFormat/>
    <w:pPr>
      <w:numPr>
        <w:ilvl w:val="2"/>
        <w:numId w:val="1"/>
      </w:numPr>
      <w:ind w:hanging="720" w:start="0" w:end="720"/>
      <w:outlineLvl w:val="2"/>
    </w:pPr>
    <w:rPr/>
  </w:style>
  <w:style w:type="paragraph" w:styleId="Heading4">
    <w:name w:val="heading 4"/>
    <w:basedOn w:val="Heading3"/>
    <w:next w:val="BodyText"/>
    <w:qFormat/>
    <w:pPr>
      <w:numPr>
        <w:ilvl w:val="3"/>
        <w:numId w:val="1"/>
      </w:numPr>
      <w:ind w:hanging="720" w:start="0" w:end="720"/>
      <w:outlineLvl w:val="3"/>
    </w:pPr>
    <w:rPr/>
  </w:style>
  <w:style w:type="paragraph" w:styleId="Heading5">
    <w:name w:val="heading 5"/>
    <w:basedOn w:val="Heading4"/>
    <w:next w:val="BodyText"/>
    <w:qFormat/>
    <w:pPr>
      <w:numPr>
        <w:ilvl w:val="4"/>
        <w:numId w:val="1"/>
      </w:numPr>
      <w:ind w:hanging="720" w:start="0" w:end="720"/>
      <w:outlineLvl w:val="4"/>
    </w:pPr>
    <w:rPr/>
  </w:style>
  <w:style w:type="paragraph" w:styleId="Heading6">
    <w:name w:val="heading 6"/>
    <w:basedOn w:val="Heading5"/>
    <w:next w:val="BodyText"/>
    <w:qFormat/>
    <w:pPr>
      <w:numPr>
        <w:ilvl w:val="5"/>
        <w:numId w:val="1"/>
      </w:numPr>
      <w:ind w:hanging="720" w:start="0" w:end="720"/>
      <w:outlineLvl w:val="5"/>
    </w:pPr>
    <w:rPr/>
  </w:style>
  <w:style w:type="paragraph" w:styleId="Heading7">
    <w:name w:val="heading 7"/>
    <w:basedOn w:val="Heading6"/>
    <w:next w:val="BodyText"/>
    <w:qFormat/>
    <w:pPr>
      <w:numPr>
        <w:ilvl w:val="6"/>
        <w:numId w:val="1"/>
      </w:numPr>
      <w:ind w:hanging="720" w:start="0" w:end="720"/>
      <w:outlineLvl w:val="6"/>
    </w:pPr>
    <w:rPr/>
  </w:style>
  <w:style w:type="paragraph" w:styleId="Heading8">
    <w:name w:val="heading 8"/>
    <w:basedOn w:val="Heading7"/>
    <w:next w:val="BodyText"/>
    <w:qFormat/>
    <w:pPr>
      <w:numPr>
        <w:ilvl w:val="7"/>
        <w:numId w:val="1"/>
      </w:numPr>
      <w:ind w:hanging="720" w:start="0" w:end="720"/>
      <w:outlineLvl w:val="7"/>
    </w:pPr>
    <w:rPr/>
  </w:style>
  <w:style w:type="paragraph" w:styleId="Heading9">
    <w:name w:val="heading 9"/>
    <w:basedOn w:val="Heading8"/>
    <w:next w:val="BodyText"/>
    <w:qFormat/>
    <w:pPr>
      <w:numPr>
        <w:ilvl w:val="8"/>
        <w:numId w:val="1"/>
      </w:numPr>
      <w:tabs>
        <w:tab w:val="clear" w:pos="720"/>
        <w:tab w:val="left" w:pos="360" w:leader="none"/>
      </w:tabs>
      <w:ind w:hanging="720" w:start="0" w:end="720"/>
      <w:outlineLvl w:val="8"/>
    </w:pPr>
    <w:rPr/>
  </w:style>
  <w:style w:type="character" w:styleId="WW8Num28z0">
    <w:name w:val="WW8Num28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48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eadingCaption">
    <w:name w:val="Pleading Caption"/>
    <w:basedOn w:val="Normal"/>
    <w:qFormat/>
    <w:pPr>
      <w:tabs>
        <w:tab w:val="clear" w:pos="720"/>
        <w:tab w:val="left" w:pos="1066" w:leader="none"/>
        <w:tab w:val="left" w:pos="2707" w:leader="none"/>
        <w:tab w:val="right" w:pos="9360" w:leader="none"/>
      </w:tabs>
    </w:pPr>
    <w:rPr>
      <w:kern w:val="2"/>
    </w:rPr>
  </w:style>
  <w:style w:type="paragraph" w:styleId="Quote">
    <w:name w:val="Quote"/>
    <w:basedOn w:val="Normal"/>
    <w:next w:val="AfterQuote"/>
    <w:qFormat/>
    <w:pPr>
      <w:spacing w:before="240" w:after="0"/>
      <w:ind w:hanging="0" w:start="1440" w:end="1440"/>
      <w:jc w:val="both"/>
    </w:pPr>
    <w:rPr/>
  </w:style>
  <w:style w:type="paragraph" w:styleId="AfterQuote">
    <w:name w:val="After Quote"/>
    <w:basedOn w:val="BodyText"/>
    <w:next w:val="BodyText"/>
    <w:qFormat/>
    <w:pPr>
      <w:ind w:hanging="0" w:start="0" w:end="0"/>
    </w:pPr>
    <w:rPr/>
  </w:style>
  <w:style w:type="paragraph" w:styleId="FootnoteText">
    <w:name w:val="footnote text"/>
    <w:basedOn w:val="Normal"/>
    <w:pPr>
      <w:spacing w:before="240" w:after="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center" w:pos="7920" w:leader="none"/>
        <w:tab w:val="right" w:pos="8640" w:leader="none"/>
      </w:tabs>
    </w:pPr>
    <w:rPr>
      <w:spacing w:val="0"/>
    </w:rPr>
  </w:style>
  <w:style w:type="paragraph" w:styleId="SignatureBlock">
    <w:name w:val="Signature Block"/>
    <w:basedOn w:val="Normal"/>
    <w:qFormat/>
    <w:pPr>
      <w:keepNext w:val="true"/>
      <w:tabs>
        <w:tab w:val="clear" w:pos="720"/>
        <w:tab w:val="left" w:pos="8640" w:leader="none"/>
      </w:tabs>
      <w:ind w:hanging="0" w:start="4320" w:end="0"/>
    </w:pPr>
    <w:rPr/>
  </w:style>
  <w:style w:type="paragraph" w:styleId="HeaderNumbers">
    <w:name w:val="HeaderNumbers"/>
    <w:basedOn w:val="Normal"/>
    <w:qFormat/>
    <w:pPr>
      <w:spacing w:lineRule="exact" w:line="480" w:before="600" w:after="0"/>
      <w:ind w:hanging="0" w:start="0" w:end="144"/>
      <w:jc w:val="end"/>
    </w:pPr>
    <w:rPr/>
  </w:style>
  <w:style w:type="paragraph" w:styleId="BodyText1">
    <w:name w:val="Body Text #"/>
    <w:basedOn w:val="BodyText"/>
    <w:qFormat/>
    <w:pPr>
      <w:numPr>
        <w:ilvl w:val="0"/>
        <w:numId w:val="2"/>
      </w:numPr>
      <w:tabs>
        <w:tab w:val="clear" w:pos="720"/>
      </w:tabs>
    </w:pPr>
    <w:rPr/>
  </w:style>
  <w:style w:type="paragraph" w:styleId="Court">
    <w:name w:val="Court"/>
    <w:basedOn w:val="Normal"/>
    <w:qFormat/>
    <w:pPr>
      <w:spacing w:before="240" w:after="0"/>
      <w:jc w:val="center"/>
    </w:pPr>
    <w:rPr/>
  </w:style>
  <w:style w:type="paragraph" w:styleId="Client">
    <w:name w:val="Client"/>
    <w:basedOn w:val="Normal"/>
    <w:qFormat/>
    <w:pPr>
      <w:ind w:hanging="0" w:start="0" w:end="4406"/>
    </w:pPr>
    <w:rPr/>
  </w:style>
  <w:style w:type="paragraph" w:styleId="Date">
    <w:name w:val="Date"/>
    <w:basedOn w:val="Normal"/>
    <w:qFormat/>
    <w:pPr>
      <w:keepNext w:val="true"/>
      <w:tabs>
        <w:tab w:val="clear" w:pos="720"/>
        <w:tab w:val="left" w:pos="1627" w:leader="none"/>
      </w:tabs>
      <w:spacing w:before="240" w:after="240"/>
      <w:ind w:hanging="0" w:start="720" w:end="0"/>
    </w:pPr>
    <w:rPr/>
  </w:style>
  <w:style w:type="paragraph" w:styleId="ClientIndented">
    <w:name w:val="Client Indented"/>
    <w:basedOn w:val="Normal"/>
    <w:qFormat/>
    <w:pPr>
      <w:keepNext w:val="true"/>
      <w:ind w:hanging="0" w:start="5040" w:end="0"/>
    </w:pPr>
    <w:rPr/>
  </w:style>
  <w:style w:type="paragraph" w:styleId="CenterTitle">
    <w:name w:val="Center Title"/>
    <w:basedOn w:val="Normal"/>
    <w:next w:val="BodyText"/>
    <w:qFormat/>
    <w:pPr>
      <w:keepNext w:val="true"/>
      <w:spacing w:lineRule="exact" w:line="480"/>
      <w:jc w:val="center"/>
    </w:pPr>
    <w:rPr>
      <w:b/>
      <w:caps/>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Template>
  <TotalTime>364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2001-02-08T00:15:00Z</dcterms:created>
  <dc:creator>JHE1</dc:creator>
  <dc:description/>
  <dc:language>en-CA</dc:language>
  <cp:lastModifiedBy>Janis E. Price</cp:lastModifiedBy>
  <cp:lastPrinted>2001-02-08T14:45:00Z</cp:lastPrinted>
  <dcterms:modified xsi:type="dcterms:W3CDTF">2001-02-08T20:15:00Z</dcterms:modified>
  <cp:revision>70</cp:revision>
  <dc:subject/>
  <dc:title>Morrison &amp; Foerster Pleading Template version 3.0</dc:title>
</cp:coreProperties>
</file>