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MEMORANDUM</w:t>
      </w:r>
    </w:p>
    <w:p>
      <w:pPr>
        <w:pStyle w:val="Normal"/>
        <w:rPr>
          <w:sz w:val="22"/>
        </w:rPr>
      </w:pPr>
      <w:r>
        <w:rPr>
          <w:sz w:val="22"/>
        </w:rPr>
      </w:r>
    </w:p>
    <w:p>
      <w:pPr>
        <w:pStyle w:val="Normal"/>
        <w:rPr>
          <w:sz w:val="22"/>
        </w:rPr>
      </w:pPr>
      <w:r>
        <w:rPr>
          <w:sz w:val="22"/>
        </w:rPr>
        <w:t>To:</w:t>
        <w:tab/>
        <w:t>Rebecca McDonald</w:t>
      </w:r>
    </w:p>
    <w:p>
      <w:pPr>
        <w:pStyle w:val="Normal"/>
        <w:rPr>
          <w:sz w:val="22"/>
        </w:rPr>
      </w:pPr>
      <w:r>
        <w:rPr>
          <w:sz w:val="22"/>
        </w:rPr>
        <w:t>From:</w:t>
        <w:tab/>
        <w:t>Scott Reblitz</w:t>
      </w:r>
    </w:p>
    <w:p>
      <w:pPr>
        <w:pStyle w:val="Normal"/>
        <w:rPr>
          <w:sz w:val="22"/>
        </w:rPr>
      </w:pPr>
      <w:r>
        <w:rPr>
          <w:sz w:val="22"/>
        </w:rPr>
        <w:t>Date:</w:t>
        <w:tab/>
        <w:t>March 23, 2001</w:t>
      </w:r>
    </w:p>
    <w:p>
      <w:pPr>
        <w:pStyle w:val="Normal"/>
        <w:rPr>
          <w:sz w:val="22"/>
        </w:rPr>
      </w:pPr>
      <w:r>
        <w:rPr>
          <w:sz w:val="22"/>
        </w:rPr>
        <w:t>Re:</w:t>
        <w:tab/>
        <w:t>ExIm Bank Advisory Committee – March 27</w:t>
      </w:r>
    </w:p>
    <w:p>
      <w:pPr>
        <w:pStyle w:val="Normal"/>
        <w:pBdr>
          <w:bottom w:val="single" w:sz="12" w:space="1" w:color="000000"/>
        </w:pBdr>
        <w:rPr>
          <w:sz w:val="22"/>
        </w:rPr>
      </w:pPr>
      <w:r>
        <w:rPr>
          <w:sz w:val="22"/>
        </w:rPr>
        <w:t>Cc:</w:t>
        <w:tab/>
        <w:t>Steve Kean</w:t>
      </w:r>
    </w:p>
    <w:p>
      <w:pPr>
        <w:pStyle w:val="Heading1"/>
        <w:ind w:hanging="0" w:start="0"/>
        <w:rPr>
          <w:b w:val="false"/>
          <w:bCs w:val="false"/>
          <w:sz w:val="22"/>
          <w:u w:val="none"/>
        </w:rPr>
      </w:pPr>
      <w:r>
        <w:rPr>
          <w:b w:val="false"/>
          <w:bCs w:val="false"/>
          <w:sz w:val="22"/>
          <w:u w:val="none"/>
        </w:rPr>
      </w:r>
    </w:p>
    <w:p>
      <w:pPr>
        <w:pStyle w:val="Heading1"/>
        <w:ind w:hanging="0" w:start="0"/>
        <w:rPr>
          <w:sz w:val="22"/>
        </w:rPr>
      </w:pPr>
      <w:r>
        <w:rPr>
          <w:sz w:val="22"/>
        </w:rPr>
        <w:t>Responses to ExIm Questions</w:t>
      </w:r>
    </w:p>
    <w:p>
      <w:pPr>
        <w:pStyle w:val="Normal"/>
        <w:numPr>
          <w:ilvl w:val="0"/>
          <w:numId w:val="2"/>
        </w:numPr>
        <w:tabs>
          <w:tab w:val="clear" w:pos="720"/>
          <w:tab w:val="left" w:pos="360" w:leader="none"/>
        </w:tabs>
        <w:ind w:hanging="360" w:start="360" w:end="0"/>
        <w:rPr>
          <w:i/>
          <w:i/>
          <w:iCs/>
          <w:sz w:val="22"/>
        </w:rPr>
      </w:pPr>
      <w:r>
        <w:rPr>
          <w:i/>
          <w:iCs/>
          <w:sz w:val="22"/>
        </w:rPr>
        <w:t>What is the key product line(s) in your industry?  Is it changing?  How?  What product line changes, if any, do you see occurring in complementary industries?</w:t>
      </w:r>
    </w:p>
    <w:p>
      <w:pPr>
        <w:pStyle w:val="Normal"/>
        <w:rPr>
          <w:i/>
          <w:i/>
          <w:iCs/>
          <w:sz w:val="22"/>
        </w:rPr>
      </w:pPr>
      <w:r>
        <w:rPr>
          <w:i/>
          <w:iCs/>
          <w:sz w:val="22"/>
        </w:rPr>
      </w:r>
    </w:p>
    <w:p>
      <w:pPr>
        <w:pStyle w:val="Normal"/>
        <w:rPr>
          <w:sz w:val="22"/>
        </w:rPr>
      </w:pPr>
      <w:r>
        <w:rPr>
          <w:sz w:val="22"/>
        </w:rPr>
        <w:t>Enron offers a wide array of trading, market making, financing, risk management and infrastructure development services within the natural gas and electricity markets worldwide.  In addition to these traditional lines of business, Enron is pursing business opportunities in industries where the commoditization of products allows for Enron to play a role in making more efficient markets by drawing on its historic core strengths and skillsets.  Specific initiatives underway include broadband content delivery and trading and the expansion of online platforms for the trading of products in areas such as pulp and paper, metals, advertising space, and data storage.</w:t>
      </w:r>
    </w:p>
    <w:p>
      <w:pPr>
        <w:pStyle w:val="Normal"/>
        <w:rPr>
          <w:sz w:val="22"/>
        </w:rPr>
      </w:pPr>
      <w:r>
        <w:rPr>
          <w:sz w:val="22"/>
        </w:rPr>
      </w:r>
    </w:p>
    <w:p>
      <w:pPr>
        <w:pStyle w:val="Normal"/>
        <w:numPr>
          <w:ilvl w:val="0"/>
          <w:numId w:val="2"/>
        </w:numPr>
        <w:tabs>
          <w:tab w:val="clear" w:pos="720"/>
          <w:tab w:val="left" w:pos="360" w:leader="none"/>
        </w:tabs>
        <w:ind w:hanging="360" w:start="360" w:end="0"/>
        <w:rPr>
          <w:sz w:val="22"/>
        </w:rPr>
      </w:pPr>
      <w:r>
        <w:rPr>
          <w:i/>
          <w:iCs/>
          <w:sz w:val="22"/>
        </w:rPr>
        <w:t>Where are the biggest markets for your industry globally?  Are there new markets you are trying to enter?</w:t>
      </w:r>
      <w:r>
        <w:rPr>
          <w:sz w:val="22"/>
        </w:rPr>
        <w:t xml:space="preserve"> </w:t>
      </w:r>
    </w:p>
    <w:p>
      <w:pPr>
        <w:pStyle w:val="Normal"/>
        <w:rPr>
          <w:sz w:val="22"/>
        </w:rPr>
      </w:pPr>
      <w:r>
        <w:rPr>
          <w:sz w:val="22"/>
        </w:rPr>
      </w:r>
    </w:p>
    <w:p>
      <w:pPr>
        <w:pStyle w:val="Normal"/>
        <w:rPr>
          <w:sz w:val="22"/>
        </w:rPr>
      </w:pPr>
      <w:r>
        <w:rPr>
          <w:sz w:val="22"/>
        </w:rPr>
        <w:t xml:space="preserve">Enron’s primary geographic markets span most developed countries worldwide as well as emerging economies undergoing the necessary economic liberalizations to allow for private sector participation.  In addition to North America, significant efforts are focused on western European, Scandinavian, Australian and Japanese markets.  Furthermore, strategic investments in the Middle East, Turkey, India, South America and select countries in Asia are continually being considered.  With respect to new geographic markets, specific attention is being paid to the deregulating energy markets in Germany and Japan.  </w:t>
      </w:r>
    </w:p>
    <w:p>
      <w:pPr>
        <w:pStyle w:val="Normal"/>
        <w:rPr>
          <w:sz w:val="22"/>
        </w:rPr>
      </w:pPr>
      <w:r>
        <w:rPr>
          <w:sz w:val="22"/>
        </w:rPr>
      </w:r>
    </w:p>
    <w:p>
      <w:pPr>
        <w:pStyle w:val="Normal"/>
        <w:rPr>
          <w:sz w:val="22"/>
        </w:rPr>
      </w:pPr>
      <w:r>
        <w:rPr>
          <w:sz w:val="22"/>
        </w:rPr>
        <w:t>While the above is looking at the question from a geographic standpoint, Enron is also entering new markets from an industry standpoint.  Specifically, broadband telecommunications and online market making are areas looked upon for significant earnings growth for Enron.   As these business models develop, it is assumed that a portion of their activities will be internationally focused.</w:t>
      </w:r>
    </w:p>
    <w:p>
      <w:pPr>
        <w:pStyle w:val="Normal"/>
        <w:rPr>
          <w:sz w:val="22"/>
        </w:rPr>
      </w:pPr>
      <w:r>
        <w:rPr>
          <w:sz w:val="22"/>
        </w:rPr>
      </w:r>
    </w:p>
    <w:p>
      <w:pPr>
        <w:pStyle w:val="Normal"/>
        <w:numPr>
          <w:ilvl w:val="0"/>
          <w:numId w:val="2"/>
        </w:numPr>
        <w:tabs>
          <w:tab w:val="clear" w:pos="720"/>
          <w:tab w:val="left" w:pos="360" w:leader="none"/>
        </w:tabs>
        <w:ind w:hanging="360" w:start="360" w:end="0"/>
        <w:rPr>
          <w:i/>
          <w:i/>
          <w:iCs/>
          <w:sz w:val="22"/>
        </w:rPr>
      </w:pPr>
      <w:r>
        <w:rPr>
          <w:i/>
          <w:iCs/>
          <w:sz w:val="22"/>
        </w:rPr>
        <w:t>What does global competition look like in you industry?  What countries do your competitors come from?  Do they make use of official ECA support?</w:t>
      </w:r>
    </w:p>
    <w:p>
      <w:pPr>
        <w:pStyle w:val="Normal"/>
        <w:rPr>
          <w:i/>
          <w:i/>
          <w:iCs/>
          <w:sz w:val="22"/>
        </w:rPr>
      </w:pPr>
      <w:r>
        <w:rPr>
          <w:i/>
          <w:iCs/>
          <w:sz w:val="22"/>
        </w:rPr>
      </w:r>
    </w:p>
    <w:p>
      <w:pPr>
        <w:pStyle w:val="Normal"/>
        <w:rPr>
          <w:sz w:val="22"/>
        </w:rPr>
      </w:pPr>
      <w:r>
        <w:rPr>
          <w:sz w:val="22"/>
        </w:rPr>
        <w:t>Enron faces significant international competition in its business activities.  Most competitors are North American, European and/or Japanese based suppliers of services and equipment.  Often times, international competitors utilize ECA support in the form of direct loans, loan guarantees, insurance and/or limited/non-recourse project finance loans.  With the competitive pricing required to secure business opportunities around the world, ECA involvement in a transaction is often the only source for the necessary loan pricing and tenors and, in some cases, ECA involvement provides the comfort necessary for the private sector (e.g. international commercial banks, foreign local banks) to participate in a deal.</w:t>
      </w:r>
    </w:p>
    <w:p>
      <w:pPr>
        <w:pStyle w:val="Normal"/>
        <w:rPr>
          <w:sz w:val="22"/>
        </w:rPr>
      </w:pPr>
      <w:r>
        <w:rPr>
          <w:sz w:val="22"/>
        </w:rPr>
      </w:r>
    </w:p>
    <w:p>
      <w:pPr>
        <w:pStyle w:val="Normal"/>
        <w:numPr>
          <w:ilvl w:val="0"/>
          <w:numId w:val="2"/>
        </w:numPr>
        <w:tabs>
          <w:tab w:val="clear" w:pos="720"/>
          <w:tab w:val="left" w:pos="360" w:leader="none"/>
        </w:tabs>
        <w:ind w:hanging="360" w:start="360" w:end="0"/>
        <w:rPr>
          <w:i/>
          <w:i/>
          <w:iCs/>
          <w:sz w:val="22"/>
        </w:rPr>
      </w:pPr>
      <w:r>
        <w:rPr>
          <w:i/>
          <w:iCs/>
          <w:sz w:val="22"/>
        </w:rPr>
        <w:t>How accessible is private financing for your industry’s exports?  Are there any specific measures ExIm Bank can take to encourage private financing in your industry?</w:t>
      </w:r>
    </w:p>
    <w:p>
      <w:pPr>
        <w:pStyle w:val="Normal"/>
        <w:rPr>
          <w:i/>
          <w:i/>
          <w:iCs/>
          <w:sz w:val="22"/>
        </w:rPr>
      </w:pPr>
      <w:r>
        <w:rPr>
          <w:i/>
          <w:iCs/>
          <w:sz w:val="22"/>
        </w:rPr>
      </w:r>
    </w:p>
    <w:p>
      <w:pPr>
        <w:pStyle w:val="Normal"/>
        <w:rPr>
          <w:sz w:val="22"/>
        </w:rPr>
      </w:pPr>
      <w:r>
        <w:rPr>
          <w:sz w:val="22"/>
        </w:rPr>
        <w:t xml:space="preserve">While private financing generally facilitates most business activities focused on the more developed countries of the world, there remains a lack of availability for private financing targeted at projects envisioned for the lesser-developed and emerging markets.  Specifically, the capacity, pricing and/or tenors required to effectively compete for large scale infrastructure projects in emerging markets has almost exclusively originated from ECA and multilateral sources since the financial crisis in 1997.    </w:t>
      </w:r>
    </w:p>
    <w:p>
      <w:pPr>
        <w:pStyle w:val="Normal"/>
        <w:rPr>
          <w:sz w:val="22"/>
        </w:rPr>
      </w:pPr>
      <w:r>
        <w:rPr>
          <w:sz w:val="22"/>
        </w:rPr>
      </w:r>
    </w:p>
    <w:p>
      <w:pPr>
        <w:pStyle w:val="Normal"/>
        <w:numPr>
          <w:ilvl w:val="0"/>
          <w:numId w:val="2"/>
        </w:numPr>
        <w:tabs>
          <w:tab w:val="clear" w:pos="720"/>
          <w:tab w:val="left" w:pos="360" w:leader="none"/>
        </w:tabs>
        <w:ind w:hanging="360" w:start="360" w:end="0"/>
        <w:rPr>
          <w:i/>
          <w:i/>
          <w:iCs/>
          <w:sz w:val="22"/>
        </w:rPr>
      </w:pPr>
      <w:r>
        <w:rPr>
          <w:i/>
          <w:iCs/>
          <w:sz w:val="22"/>
        </w:rPr>
        <w:t>How can ExIm Bank change to meet the changing needs of your industry?  Does this require a change in focus or a fundamental change in ExIm Bank’s philosophy and business practices?</w:t>
      </w:r>
    </w:p>
    <w:p>
      <w:pPr>
        <w:pStyle w:val="Normal"/>
        <w:rPr>
          <w:i/>
          <w:i/>
          <w:iCs/>
          <w:sz w:val="22"/>
        </w:rPr>
      </w:pPr>
      <w:r>
        <w:rPr>
          <w:i/>
          <w:iCs/>
          <w:sz w:val="22"/>
        </w:rPr>
      </w:r>
    </w:p>
    <w:p>
      <w:pPr>
        <w:pStyle w:val="Normal"/>
        <w:rPr>
          <w:sz w:val="22"/>
        </w:rPr>
      </w:pPr>
      <w:r>
        <w:rPr>
          <w:sz w:val="22"/>
        </w:rPr>
        <w:t>Changes and improvements suggested for ExIm to consider are discussed in the next section of this memo.</w:t>
      </w:r>
    </w:p>
    <w:p>
      <w:pPr>
        <w:pStyle w:val="Normal"/>
        <w:rPr>
          <w:sz w:val="22"/>
        </w:rPr>
      </w:pPr>
      <w:r>
        <w:rPr>
          <w:sz w:val="22"/>
        </w:rPr>
      </w:r>
    </w:p>
    <w:p>
      <w:pPr>
        <w:pStyle w:val="Normal"/>
        <w:rPr>
          <w:sz w:val="22"/>
        </w:rPr>
      </w:pPr>
      <w:r>
        <w:rPr>
          <w:sz w:val="22"/>
        </w:rPr>
      </w:r>
    </w:p>
    <w:p>
      <w:pPr>
        <w:pStyle w:val="Heading1"/>
        <w:ind w:hanging="0" w:start="0"/>
        <w:rPr>
          <w:sz w:val="22"/>
        </w:rPr>
      </w:pPr>
      <w:r>
        <w:rPr>
          <w:sz w:val="22"/>
        </w:rPr>
        <w:t>Context:  Current Issues at ExIm &amp; Enron’s Perspective on Future of ExIm</w:t>
      </w:r>
    </w:p>
    <w:p>
      <w:pPr>
        <w:pStyle w:val="Normal"/>
        <w:rPr>
          <w:sz w:val="22"/>
        </w:rPr>
      </w:pPr>
      <w:r>
        <w:rPr>
          <w:sz w:val="22"/>
        </w:rPr>
        <w:t xml:space="preserve">There are two significant issues at ExIm which are pulling the institution in opposing directions.  The first of these is the recent political/budgetary attention being focused on ExIm.  Specifically, the incoming Bush administration is adopting a posture combining a negative view toward ExIm (the corporate welfare argument) with the accompanying threat of significant ExIm budget cuts that put ExIm employment levels as well as program expansion efforts at risk.  </w:t>
      </w:r>
    </w:p>
    <w:p>
      <w:pPr>
        <w:pStyle w:val="Normal"/>
        <w:rPr>
          <w:sz w:val="22"/>
        </w:rPr>
      </w:pPr>
      <w:r>
        <w:rPr>
          <w:sz w:val="22"/>
        </w:rPr>
      </w:r>
    </w:p>
    <w:p>
      <w:pPr>
        <w:pStyle w:val="Normal"/>
        <w:rPr>
          <w:sz w:val="22"/>
        </w:rPr>
      </w:pPr>
      <w:r>
        <w:rPr>
          <w:sz w:val="22"/>
        </w:rPr>
        <w:t>The above challenges come at a time when the U.S. export community, in general, is focusing on an opposing issue--urging ExIm to expand its programs and flexibilities; thereby maintaining its competitiveness with other countries ECA’s and government-sponsored financing institutions.  Recently, a paper was published and presented to ExIm entitled “Responding to the New Competitive World of Government Supported International Transactions” (this is being faxed to Rebecca).  Enron provided significant input to the document and the final product accurately portrays Enron’s position as to ways ExIm can improve its position.  A summary of the specific points (listed in what I view as order of importance) this paper makes includes:</w:t>
      </w:r>
    </w:p>
    <w:p>
      <w:pPr>
        <w:pStyle w:val="Normal"/>
        <w:rPr>
          <w:sz w:val="22"/>
        </w:rPr>
      </w:pPr>
      <w:r>
        <w:rPr>
          <w:sz w:val="22"/>
        </w:rPr>
      </w:r>
    </w:p>
    <w:p>
      <w:pPr>
        <w:pStyle w:val="Normal"/>
        <w:numPr>
          <w:ilvl w:val="0"/>
          <w:numId w:val="4"/>
        </w:numPr>
        <w:rPr>
          <w:sz w:val="22"/>
        </w:rPr>
      </w:pPr>
      <w:r>
        <w:rPr>
          <w:sz w:val="22"/>
        </w:rPr>
        <w:t xml:space="preserve">ExIm should embrace opportunities to coordinate with other ECA’s in co-financing—other ECA’s have demonstrated the ability to enter into cooperative agreements with each other resulting in more efficient transaction administration </w:t>
      </w:r>
    </w:p>
    <w:p>
      <w:pPr>
        <w:pStyle w:val="Normal"/>
        <w:ind w:start="360" w:end="0"/>
        <w:rPr>
          <w:sz w:val="22"/>
        </w:rPr>
      </w:pPr>
      <w:r>
        <w:rPr>
          <w:sz w:val="22"/>
        </w:rPr>
      </w:r>
    </w:p>
    <w:p>
      <w:pPr>
        <w:pStyle w:val="Normal"/>
        <w:numPr>
          <w:ilvl w:val="0"/>
          <w:numId w:val="4"/>
        </w:numPr>
        <w:rPr>
          <w:sz w:val="22"/>
        </w:rPr>
      </w:pPr>
      <w:r>
        <w:rPr>
          <w:sz w:val="22"/>
        </w:rPr>
        <w:t>ExIm should be a leading voice in an effort to examine the benefits of the U.S.  establishing a “market window” financing institution—using Germany’s KfW and Canada’s ECGD as examples</w:t>
      </w:r>
    </w:p>
    <w:p>
      <w:pPr>
        <w:pStyle w:val="Normal"/>
        <w:rPr>
          <w:sz w:val="22"/>
        </w:rPr>
      </w:pPr>
      <w:r>
        <w:rPr>
          <w:sz w:val="22"/>
        </w:rPr>
      </w:r>
    </w:p>
    <w:p>
      <w:pPr>
        <w:pStyle w:val="Normal"/>
        <w:numPr>
          <w:ilvl w:val="0"/>
          <w:numId w:val="4"/>
        </w:numPr>
        <w:rPr>
          <w:sz w:val="22"/>
        </w:rPr>
      </w:pPr>
      <w:r>
        <w:rPr>
          <w:sz w:val="22"/>
        </w:rPr>
        <w:t>ExIm should make its U.S. content requirements more flexible and allow for more efficient accounting of U.S. content—ExIm policy in this area is more stringent than other ECA’s</w:t>
      </w:r>
    </w:p>
    <w:p>
      <w:pPr>
        <w:pStyle w:val="Normal"/>
        <w:rPr>
          <w:sz w:val="22"/>
        </w:rPr>
      </w:pPr>
      <w:r>
        <w:rPr>
          <w:sz w:val="22"/>
        </w:rPr>
      </w:r>
    </w:p>
    <w:p>
      <w:pPr>
        <w:pStyle w:val="Normal"/>
        <w:numPr>
          <w:ilvl w:val="0"/>
          <w:numId w:val="3"/>
        </w:numPr>
        <w:rPr>
          <w:sz w:val="22"/>
        </w:rPr>
      </w:pPr>
      <w:r>
        <w:rPr>
          <w:sz w:val="22"/>
        </w:rPr>
        <w:t>ExIm should allow greater relief from its current requirement that ExIm-financed exports be shipped on U.S.-flagged vessels</w:t>
      </w:r>
    </w:p>
    <w:p>
      <w:pPr>
        <w:pStyle w:val="Normal"/>
        <w:rPr>
          <w:sz w:val="22"/>
        </w:rPr>
      </w:pPr>
      <w:r>
        <w:rPr>
          <w:sz w:val="22"/>
        </w:rPr>
      </w:r>
    </w:p>
    <w:p>
      <w:pPr>
        <w:pStyle w:val="Normal"/>
        <w:numPr>
          <w:ilvl w:val="0"/>
          <w:numId w:val="3"/>
        </w:numPr>
        <w:rPr>
          <w:sz w:val="22"/>
        </w:rPr>
      </w:pPr>
      <w:r>
        <w:rPr>
          <w:sz w:val="22"/>
        </w:rPr>
        <w:t>ExIm should remove ambiguities related to calculating the amount of foreign local costs (e.g. site preparation)</w:t>
      </w:r>
    </w:p>
    <w:p>
      <w:pPr>
        <w:pStyle w:val="Normal"/>
        <w:rPr>
          <w:sz w:val="22"/>
        </w:rPr>
      </w:pPr>
      <w:r>
        <w:rPr>
          <w:sz w:val="22"/>
        </w:rPr>
      </w:r>
    </w:p>
    <w:p>
      <w:pPr>
        <w:pStyle w:val="Normal"/>
        <w:rPr>
          <w:sz w:val="22"/>
        </w:rPr>
      </w:pPr>
      <w:r>
        <w:rPr>
          <w:sz w:val="22"/>
        </w:rPr>
        <w:t>In addition to the above arguments specifically highlighted in the paper, other areas for improvement have focused on the need for ExIm to incorporate greater benefits via technology usage (e.g. exporter being able to apply for loans online, online platforms to facilitate project document management) and greater coordination with other U.S. government sources of financing including OPIC and TDA.  Furthermore, at a cultural level, the institution needs to be more aggressive in embracing change in order to remain competitive with other countries’ efforts to bolster their respective nation’s business interests.</w:t>
      </w:r>
    </w:p>
    <w:p>
      <w:pPr>
        <w:pStyle w:val="Normal"/>
        <w:rPr>
          <w:sz w:val="22"/>
        </w:rPr>
      </w:pPr>
      <w:r>
        <w:rPr>
          <w:sz w:val="22"/>
        </w:rPr>
      </w:r>
    </w:p>
    <w:p>
      <w:pPr>
        <w:pStyle w:val="Normal"/>
        <w:rPr>
          <w:sz w:val="22"/>
        </w:rPr>
      </w:pPr>
      <w:r>
        <w:rPr>
          <w:sz w:val="22"/>
        </w:rPr>
      </w:r>
    </w:p>
    <w:p>
      <w:pPr>
        <w:pStyle w:val="Heading1"/>
        <w:ind w:hanging="0" w:start="0"/>
        <w:rPr>
          <w:sz w:val="22"/>
        </w:rPr>
      </w:pPr>
      <w:r>
        <w:rPr>
          <w:sz w:val="22"/>
        </w:rPr>
        <w:t>Enron’s Advocacy Efforts</w:t>
      </w:r>
    </w:p>
    <w:p>
      <w:pPr>
        <w:pStyle w:val="Normal"/>
        <w:rPr>
          <w:sz w:val="22"/>
        </w:rPr>
      </w:pPr>
      <w:r>
        <w:rPr>
          <w:sz w:val="22"/>
        </w:rPr>
        <w:t xml:space="preserve">To address concerns regarding ExIm’s international competitiveness, Enron has utilized several channels to broadcast its message highlighted by the following:  1) Enron’s participation and membership in Washington-based trade/industry groups—primarily Coalition for Employment through Exports (CEE) and National Foreign Trade Council (NFTC); 2) Enron provided significant input into a paper presented at an ExIm annual conference in May, 2000 (this is the paper referenced above) that suggested improvements to be made to ExIm programs and policies: 3) lobbying efforts within the executive and legislative branches focusing on the benefits stemming from ExIm (and OPIC) and counter-arguments to the corporate welfare debate; 4) when necessary, Enron has contributed to articles appearing in publications such as </w:t>
      </w:r>
      <w:r>
        <w:rPr>
          <w:i/>
          <w:iCs/>
          <w:sz w:val="22"/>
        </w:rPr>
        <w:t>The Washington Post</w:t>
      </w:r>
      <w:r>
        <w:rPr>
          <w:sz w:val="22"/>
        </w:rPr>
        <w:t xml:space="preserve"> and </w:t>
      </w:r>
      <w:r>
        <w:rPr>
          <w:i/>
          <w:iCs/>
          <w:sz w:val="22"/>
        </w:rPr>
        <w:t>The Wall Street Journal</w:t>
      </w:r>
      <w:r>
        <w:rPr>
          <w:sz w:val="22"/>
        </w:rPr>
        <w:t>—tone of these articles has been supportive of ExIm; 5) Enron’s membership on ExIm’s Advisory Committee; and 6) ExIm has had an opportunity to see what Enron requires of it via the Enron projects that ExIm has financed.</w:t>
      </w:r>
      <w:r>
        <w:rPr>
          <w:b/>
          <w:bCs/>
          <w:sz w:val="22"/>
        </w:rPr>
        <w:t xml:space="preserve"> </w:t>
      </w:r>
    </w:p>
    <w:p>
      <w:pPr>
        <w:pStyle w:val="Heading1"/>
        <w:ind w:hanging="0" w:start="0"/>
        <w:rPr>
          <w:sz w:val="22"/>
        </w:rPr>
      </w:pPr>
      <w:r>
        <w:rPr>
          <w:sz w:val="22"/>
        </w:rPr>
      </w:r>
    </w:p>
    <w:p>
      <w:pPr>
        <w:pStyle w:val="Normal"/>
        <w:rPr>
          <w:sz w:val="22"/>
        </w:rPr>
      </w:pPr>
      <w:r>
        <w:rPr>
          <w:sz w:val="22"/>
        </w:rPr>
      </w:r>
    </w:p>
    <w:p>
      <w:pPr>
        <w:pStyle w:val="Heading1"/>
        <w:ind w:hanging="0" w:start="0"/>
        <w:rPr/>
      </w:pPr>
      <w:r>
        <w:rPr>
          <w:sz w:val="22"/>
        </w:rPr>
        <w:t>Enron Project History with ExIm &amp; Current Projects</w:t>
      </w:r>
      <w:r>
        <w:rPr>
          <w:b w:val="false"/>
          <w:bCs w:val="false"/>
          <w:sz w:val="22"/>
          <w:u w:val="none"/>
        </w:rPr>
        <w:t xml:space="preserve"> </w:t>
      </w:r>
    </w:p>
    <w:p>
      <w:pPr>
        <w:pStyle w:val="Normal"/>
        <w:rPr>
          <w:sz w:val="22"/>
        </w:rPr>
      </w:pPr>
      <w:r>
        <w:rPr>
          <w:sz w:val="22"/>
        </w:rPr>
        <w:t>As a preface to this section, let me add that, although Enron has presented countless project briefings to ExIm in the regular course of seeking finance for its international projects, there is a strong institutional (Enron’s) bias against utilizing ExIm loans and guarantees.  This stems from four primary reasons:  1) in the mid-1990’s, it was more effective to source financing from commercial banks and/or capital markets—even for emerging market projects; 2) Enron has enjoyed a strong relationship with  OPIC—they know us, they know how Enron operates, they can work with us within the short time frames that we usually require—and are the preferred lender if considering Washington-based lending; 3) based on our past experience, ExIm has proven to be a rather bureaucratic institution (especially vs. OPIC) and doesn’t provide the best “fit” with the pace and intensity usually demanded by Enron—furthermore, ExIm has completed very few recent project financings (vs. trade financings) which is the product we are generally looking for from them;  4) often times, Enron utilizes a significant amount of foreign content which allows for utilization of other countries’ ECA’s (U.S. content is often more expensive than that sourced from foreign suppliers).</w:t>
      </w:r>
    </w:p>
    <w:p>
      <w:pPr>
        <w:pStyle w:val="Normal"/>
        <w:rPr>
          <w:sz w:val="22"/>
        </w:rPr>
      </w:pPr>
      <w:r>
        <w:rPr>
          <w:sz w:val="22"/>
        </w:rPr>
      </w:r>
    </w:p>
    <w:p>
      <w:pPr>
        <w:pStyle w:val="Normal"/>
        <w:rPr>
          <w:sz w:val="22"/>
        </w:rPr>
      </w:pPr>
      <w:r>
        <w:rPr>
          <w:sz w:val="22"/>
        </w:rPr>
        <w:t xml:space="preserve">Given the above, Enron has utilized ExIm financing for two of its international projects:  Dabhol phase 1 in India; and the Marmara power project in Turkey.  Currently, Enron is considering ExIm financing for its Eletrobolt power project located near Rio de Janeiro, Brazil.  For this transaction, an on-lending structure is contemplated whereby ExIm will lend funds to a Brazilian bank who will then on-lend the funds to the Enron project entity in Brazil.  Please note, a financing structure utilizing OPIC project financing is also being considered for the Eletrobolt transaction.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val="false"/>
      <w:u w:val="none"/>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2001-03-23T12:20:00Z</dcterms:created>
  <dc:creator>sreblitz</dc:creator>
  <dc:description/>
  <dc:language>en-CA</dc:language>
  <cp:lastModifiedBy>sreblitz</cp:lastModifiedBy>
  <cp:lastPrinted>2001-03-23T14:44:00Z</cp:lastPrinted>
  <dcterms:modified xsi:type="dcterms:W3CDTF">2001-03-23T17:23:00Z</dcterms:modified>
  <cp:revision>31</cp:revision>
  <dc:subject/>
  <dc:title>MEMORANDUM</dc:title>
</cp:coreProperties>
</file>