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Chairman Ewing:</w:t>
      </w:r>
    </w:p>
    <w:p>
      <w:pPr>
        <w:pStyle w:val="Normal"/>
        <w:rPr/>
      </w:pPr>
      <w:r>
        <w:rPr/>
      </w:r>
    </w:p>
    <w:p>
      <w:pPr>
        <w:pStyle w:val="Normal"/>
        <w:rPr/>
      </w:pPr>
      <w:r>
        <w:rPr/>
        <w:t xml:space="preserve">I am writing to reiterate our general support for H.R. 4541, The Commodity Futures Modernization Act of 2000.  In particular we continue to believe that statutory legal certainty for over-the-counter derivatives transactions based on energy and metal commodities is necessary.  While we feel that the exclusionary approach taken by Senators Lugar and Graham is the best answer, at a minimum you should retain the exemption for such transactions contined in your current draft.  Such transactions need and deserve the same level of legal certainty as other derivative transactions. No basis for distunguishing them and subjecting them to regualtion has been articulated. </w:t>
      </w:r>
    </w:p>
    <w:p>
      <w:pPr>
        <w:pStyle w:val="Normal"/>
        <w:rPr/>
      </w:pPr>
      <w:r>
        <w:rPr/>
      </w:r>
    </w:p>
    <w:p>
      <w:pPr>
        <w:pStyle w:val="Normal"/>
        <w:rPr/>
      </w:pPr>
      <w:r>
        <w:rPr/>
        <w:t>Our experiences in 1998, among others, convince us of the need for a statutory solution to this issue.  We hope you will not retreat from the bedrock principal of statutory legal certainly for energy and metal commodity derivatives.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2000-06-16T16:10:00Z</dcterms:created>
  <dc:creator>mtaylo1</dc:creator>
  <dc:description/>
  <dc:language>en-CA</dc:language>
  <cp:lastModifiedBy>mtaylo1</cp:lastModifiedBy>
  <dcterms:modified xsi:type="dcterms:W3CDTF">2000-06-16T16:49:00Z</dcterms:modified>
  <cp:revision>1</cp:revision>
  <dc:subject/>
  <dc:title>Dear Chairman Ewing:</dc:title>
</cp:coreProperties>
</file>