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BodyText"/>
        <w:rPr/>
      </w:pPr>
      <w:r>
        <w:rPr/>
        <w:t>Enron supports statutory legal certainty for over-the-counter derivatives transactions based on both energy and metal commodities and can support, at a minimum, the exemption for such transactions as contained in H.R. 4541, the Commodity Futures Modernization Act of 2000.  While we prefer the exclusionary approach taken in the Senate companion legislation to H.R. 4541's exemptive approach, language is essential since energy and metal commodity transactions deserve the same level of legal certainty as other derivative transactions.  At no time has a persuasive basis been articulated for the need to distinguish energy and metal commodities from other derivative transactions.</w:t>
      </w:r>
    </w:p>
    <w:p>
      <w:pPr>
        <w:pStyle w:val="Normal"/>
        <w:autoSpaceDE w:val="false"/>
        <w:spacing w:lineRule="atLeast" w:line="240"/>
        <w:rPr>
          <w:color w:val="000000"/>
          <w:szCs w:val="20"/>
        </w:rPr>
      </w:pPr>
      <w:r>
        <w:rPr>
          <w:color w:val="000000"/>
          <w:szCs w:val="20"/>
        </w:rPr>
      </w:r>
    </w:p>
    <w:p>
      <w:pPr>
        <w:pStyle w:val="Normal"/>
        <w:rPr>
          <w:color w:val="000000"/>
          <w:szCs w:val="20"/>
        </w:rPr>
      </w:pPr>
      <w:r>
        <w:rPr>
          <w:color w:val="000000"/>
          <w:szCs w:val="20"/>
        </w:rPr>
        <w:t>Our experiences in 1998, among others, convince us of the absolute need for a statutory solution to this issue.  Please stand firm to support the bedrock principle of statutory legal certainty for energy and metal commodity derivatives.  Thank you for your support.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2000-06-16T16:10:00Z</dcterms:created>
  <dc:creator>mtaylo1</dc:creator>
  <dc:description/>
  <dc:language>en-CA</dc:language>
  <cp:lastModifiedBy>mtaylo1</cp:lastModifiedBy>
  <cp:lastPrinted>2000-06-16T15:45:00Z</cp:lastPrinted>
  <dcterms:modified xsi:type="dcterms:W3CDTF">2000-06-16T19:19:00Z</dcterms:modified>
  <cp:revision>2</cp:revision>
  <dc:subject/>
  <dc:title>Dear Chairman Ewing:</dc:title>
</cp:coreProperties>
</file>