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990" w:leader="none"/>
          <w:tab w:val="left" w:pos="5760" w:leader="none"/>
        </w:tabs>
        <w:jc w:val="center"/>
        <w:rPr/>
      </w:pPr>
      <w:r>
        <w:rPr/>
      </w:r>
    </w:p>
    <w:p>
      <w:pPr>
        <w:pStyle w:val="Normal"/>
        <w:tabs>
          <w:tab w:val="clear" w:pos="720"/>
          <w:tab w:val="left" w:pos="990" w:leader="none"/>
          <w:tab w:val="left" w:pos="5760" w:leader="none"/>
        </w:tabs>
        <w:jc w:val="center"/>
        <w:rPr/>
      </w:pPr>
      <w:r>
        <w:rPr/>
      </w:r>
    </w:p>
    <w:p>
      <w:pPr>
        <w:pStyle w:val="Normal"/>
        <w:tabs>
          <w:tab w:val="clear" w:pos="720"/>
          <w:tab w:val="left" w:pos="990" w:leader="none"/>
          <w:tab w:val="left" w:pos="5760" w:leader="none"/>
        </w:tabs>
        <w:jc w:val="center"/>
        <w:rPr/>
      </w:pPr>
      <w:r>
        <w:rPr/>
        <w:t>_________________, 2001</w:t>
      </w:r>
    </w:p>
    <w:p>
      <w:pPr>
        <w:pStyle w:val="Normal"/>
        <w:tabs>
          <w:tab w:val="clear" w:pos="720"/>
          <w:tab w:val="left" w:pos="990" w:leader="none"/>
          <w:tab w:val="left" w:pos="5760" w:leader="none"/>
        </w:tabs>
        <w:jc w:val="both"/>
        <w:rPr/>
      </w:pPr>
      <w:r>
        <w:rPr/>
        <w:tab/>
        <w:tab/>
      </w:r>
    </w:p>
    <w:p>
      <w:pPr>
        <w:pStyle w:val="Normal"/>
        <w:tabs>
          <w:tab w:val="clear" w:pos="720"/>
          <w:tab w:val="left" w:pos="990" w:leader="none"/>
          <w:tab w:val="left" w:pos="5760" w:leader="none"/>
        </w:tabs>
        <w:jc w:val="both"/>
        <w:rPr/>
      </w:pPr>
      <w:r>
        <w:rPr/>
      </w:r>
    </w:p>
    <w:p>
      <w:pPr>
        <w:pStyle w:val="Normal"/>
        <w:tabs>
          <w:tab w:val="clear" w:pos="720"/>
          <w:tab w:val="left" w:pos="990" w:leader="none"/>
          <w:tab w:val="left" w:pos="5760" w:leader="none"/>
        </w:tabs>
        <w:jc w:val="both"/>
        <w:rPr/>
      </w:pPr>
      <w:r>
        <w:rPr/>
      </w:r>
    </w:p>
    <w:p>
      <w:pPr>
        <w:pStyle w:val="Normal"/>
        <w:tabs>
          <w:tab w:val="clear" w:pos="720"/>
          <w:tab w:val="left" w:pos="990" w:leader="none"/>
          <w:tab w:val="left" w:pos="5760" w:leader="none"/>
        </w:tabs>
        <w:jc w:val="both"/>
        <w:rPr/>
      </w:pPr>
      <w:r>
        <w:rPr/>
        <w:t>The New Power Company</w:t>
      </w:r>
    </w:p>
    <w:p>
      <w:pPr>
        <w:pStyle w:val="Normal"/>
        <w:tabs>
          <w:tab w:val="clear" w:pos="720"/>
          <w:tab w:val="left" w:pos="990" w:leader="none"/>
          <w:tab w:val="left" w:pos="5760" w:leader="none"/>
        </w:tabs>
        <w:jc w:val="both"/>
        <w:rPr/>
      </w:pPr>
      <w:r>
        <w:rPr/>
        <w:t>One Manhattanville Road</w:t>
      </w:r>
    </w:p>
    <w:p>
      <w:pPr>
        <w:pStyle w:val="Normal"/>
        <w:tabs>
          <w:tab w:val="clear" w:pos="720"/>
          <w:tab w:val="left" w:pos="990" w:leader="none"/>
          <w:tab w:val="left" w:pos="5760" w:leader="none"/>
        </w:tabs>
        <w:jc w:val="both"/>
        <w:rPr/>
      </w:pPr>
      <w:r>
        <w:rPr/>
        <w:t>Purchase, N.Y.   10577</w:t>
      </w:r>
    </w:p>
    <w:p>
      <w:pPr>
        <w:pStyle w:val="Normal"/>
        <w:tabs>
          <w:tab w:val="clear" w:pos="720"/>
          <w:tab w:val="left" w:pos="990" w:leader="none"/>
          <w:tab w:val="left" w:pos="5760" w:leader="none"/>
        </w:tabs>
        <w:jc w:val="both"/>
        <w:rPr/>
      </w:pPr>
      <w:r>
        <w:rPr/>
        <w:t>Attention:   Managing Director, Law and Government Affairs</w:t>
      </w:r>
    </w:p>
    <w:p>
      <w:pPr>
        <w:pStyle w:val="Normal"/>
        <w:tabs>
          <w:tab w:val="clear" w:pos="720"/>
          <w:tab w:val="left" w:pos="990" w:leader="none"/>
          <w:tab w:val="left" w:pos="5760" w:leader="none"/>
        </w:tabs>
        <w:jc w:val="both"/>
        <w:rPr/>
      </w:pPr>
      <w:r>
        <w:rPr/>
        <w:t>VIA FACSIMILE</w:t>
      </w:r>
    </w:p>
    <w:p>
      <w:pPr>
        <w:pStyle w:val="Normal"/>
        <w:tabs>
          <w:tab w:val="clear" w:pos="720"/>
          <w:tab w:val="left" w:pos="990" w:leader="none"/>
          <w:tab w:val="left" w:pos="5760" w:leader="none"/>
        </w:tabs>
        <w:jc w:val="both"/>
        <w:rPr/>
      </w:pPr>
      <w:r>
        <w:rPr/>
        <w:t>(914) 697-2462</w:t>
      </w:r>
    </w:p>
    <w:p>
      <w:pPr>
        <w:pStyle w:val="Normal"/>
        <w:tabs>
          <w:tab w:val="clear" w:pos="720"/>
          <w:tab w:val="left" w:pos="990" w:leader="none"/>
          <w:tab w:val="left" w:pos="5760" w:leader="none"/>
        </w:tabs>
        <w:jc w:val="both"/>
        <w:rPr>
          <w:b/>
          <w:bCs/>
        </w:rPr>
      </w:pPr>
      <w:r>
        <w:rPr>
          <w:b/>
          <w:bCs/>
        </w:rPr>
        <w:t>[MASTER NETTING]</w:t>
      </w:r>
    </w:p>
    <w:p>
      <w:pPr>
        <w:pStyle w:val="Normal"/>
        <w:tabs>
          <w:tab w:val="clear" w:pos="720"/>
          <w:tab w:val="left" w:pos="990" w:leader="none"/>
          <w:tab w:val="left" w:pos="5760" w:leader="none"/>
        </w:tabs>
        <w:jc w:val="both"/>
        <w:rPr/>
      </w:pPr>
      <w:r>
        <w:rPr/>
        <w:t>The New Power Company</w:t>
      </w:r>
    </w:p>
    <w:p>
      <w:pPr>
        <w:pStyle w:val="Normal"/>
        <w:tabs>
          <w:tab w:val="clear" w:pos="720"/>
          <w:tab w:val="left" w:pos="990" w:leader="none"/>
          <w:tab w:val="left" w:pos="5760" w:leader="none"/>
        </w:tabs>
        <w:jc w:val="both"/>
        <w:rPr/>
      </w:pPr>
      <w:r>
        <w:rPr/>
        <w:t>10 Glenville Street</w:t>
      </w:r>
    </w:p>
    <w:p>
      <w:pPr>
        <w:pStyle w:val="Normal"/>
        <w:tabs>
          <w:tab w:val="clear" w:pos="720"/>
          <w:tab w:val="left" w:pos="990" w:leader="none"/>
          <w:tab w:val="left" w:pos="5760" w:leader="none"/>
        </w:tabs>
        <w:jc w:val="both"/>
        <w:rPr/>
      </w:pPr>
      <w:r>
        <w:rPr/>
        <w:t>Greenwich, CT   06831</w:t>
      </w:r>
    </w:p>
    <w:p>
      <w:pPr>
        <w:pStyle w:val="Normal"/>
        <w:tabs>
          <w:tab w:val="clear" w:pos="720"/>
          <w:tab w:val="left" w:pos="990" w:leader="none"/>
          <w:tab w:val="left" w:pos="5760" w:leader="none"/>
        </w:tabs>
        <w:jc w:val="both"/>
        <w:rPr/>
      </w:pPr>
      <w:r>
        <w:rPr/>
        <w:t>Attenrion:  Marc Manly</w:t>
      </w:r>
    </w:p>
    <w:p>
      <w:pPr>
        <w:pStyle w:val="Normal"/>
        <w:tabs>
          <w:tab w:val="clear" w:pos="720"/>
          <w:tab w:val="left" w:pos="990" w:leader="none"/>
          <w:tab w:val="left" w:pos="5760" w:leader="none"/>
        </w:tabs>
        <w:jc w:val="both"/>
        <w:rPr/>
      </w:pPr>
      <w:r>
        <w:rPr/>
        <w:t>VIA FACSIMILE</w:t>
      </w:r>
    </w:p>
    <w:p>
      <w:pPr>
        <w:pStyle w:val="Normal"/>
        <w:tabs>
          <w:tab w:val="clear" w:pos="720"/>
          <w:tab w:val="left" w:pos="990" w:leader="none"/>
          <w:tab w:val="left" w:pos="5760" w:leader="none"/>
        </w:tabs>
        <w:jc w:val="both"/>
        <w:rPr/>
      </w:pPr>
      <w:r>
        <w:rPr/>
        <w:t>(203) 531-4040</w:t>
      </w:r>
    </w:p>
    <w:p>
      <w:pPr>
        <w:pStyle w:val="Normal"/>
        <w:tabs>
          <w:tab w:val="clear" w:pos="720"/>
          <w:tab w:val="left" w:pos="990" w:leader="none"/>
          <w:tab w:val="left" w:pos="5760" w:leader="none"/>
        </w:tabs>
        <w:jc w:val="both"/>
        <w:rPr>
          <w:b/>
          <w:bCs/>
        </w:rPr>
      </w:pPr>
      <w:r>
        <w:rPr>
          <w:b/>
          <w:bCs/>
        </w:rPr>
        <w:t>[ISDA]</w:t>
      </w:r>
    </w:p>
    <w:p>
      <w:pPr>
        <w:pStyle w:val="Normal"/>
        <w:tabs>
          <w:tab w:val="clear" w:pos="720"/>
          <w:tab w:val="left" w:pos="990" w:leader="none"/>
          <w:tab w:val="left" w:pos="5760" w:leader="none"/>
        </w:tabs>
        <w:jc w:val="both"/>
        <w:rPr>
          <w:b/>
          <w:bCs/>
        </w:rPr>
      </w:pPr>
      <w:r>
        <w:rPr>
          <w:b/>
          <w:bCs/>
        </w:rPr>
      </w:r>
    </w:p>
    <w:p>
      <w:pPr>
        <w:pStyle w:val="Normal"/>
        <w:tabs>
          <w:tab w:val="clear" w:pos="720"/>
          <w:tab w:val="left" w:pos="990" w:leader="none"/>
          <w:tab w:val="left" w:pos="5760" w:leader="none"/>
        </w:tabs>
        <w:jc w:val="both"/>
        <w:rPr>
          <w:b/>
          <w:bCs/>
        </w:rPr>
      </w:pPr>
      <w:r>
        <w:rPr>
          <w:b/>
          <w:bCs/>
        </w:rPr>
        <w:t>[EES POWER]</w:t>
      </w:r>
    </w:p>
    <w:p>
      <w:pPr>
        <w:pStyle w:val="Normal"/>
        <w:tabs>
          <w:tab w:val="clear" w:pos="720"/>
          <w:tab w:val="left" w:pos="990" w:leader="none"/>
          <w:tab w:val="left" w:pos="5760" w:leader="none"/>
        </w:tabs>
        <w:jc w:val="both"/>
        <w:rPr>
          <w:b/>
          <w:bCs/>
        </w:rPr>
      </w:pPr>
      <w:r>
        <w:rPr>
          <w:b/>
          <w:bCs/>
        </w:rPr>
        <w:t>[EES GAS]</w:t>
      </w:r>
    </w:p>
    <w:p>
      <w:pPr>
        <w:pStyle w:val="Normal"/>
        <w:tabs>
          <w:tab w:val="clear" w:pos="720"/>
          <w:tab w:val="left" w:pos="990" w:leader="none"/>
          <w:tab w:val="left" w:pos="5760" w:leader="none"/>
        </w:tabs>
        <w:jc w:val="both"/>
        <w:rPr>
          <w:b/>
          <w:bCs/>
        </w:rPr>
      </w:pPr>
      <w:r>
        <w:rPr>
          <w:b/>
          <w:bCs/>
        </w:rPr>
        <w:t>[ENA GAS]</w:t>
      </w:r>
    </w:p>
    <w:p>
      <w:pPr>
        <w:pStyle w:val="Normal"/>
        <w:tabs>
          <w:tab w:val="clear" w:pos="720"/>
          <w:tab w:val="left" w:pos="990" w:leader="none"/>
          <w:tab w:val="left" w:pos="5760" w:leader="none"/>
        </w:tabs>
        <w:jc w:val="both"/>
        <w:rPr>
          <w:b/>
          <w:bCs/>
        </w:rPr>
      </w:pPr>
      <w:r>
        <w:rPr>
          <w:b/>
          <w:bCs/>
        </w:rPr>
        <w:t>[EPMI POWER]</w:t>
      </w:r>
    </w:p>
    <w:p>
      <w:pPr>
        <w:pStyle w:val="Normal"/>
        <w:tabs>
          <w:tab w:val="clear" w:pos="720"/>
          <w:tab w:val="left" w:pos="990" w:leader="none"/>
          <w:tab w:val="left" w:pos="5760" w:leader="none"/>
        </w:tabs>
        <w:jc w:val="both"/>
        <w:rPr>
          <w:b/>
          <w:bCs/>
        </w:rPr>
      </w:pPr>
      <w:r>
        <w:rPr>
          <w:b/>
          <w:bCs/>
        </w:rPr>
      </w:r>
    </w:p>
    <w:p>
      <w:pPr>
        <w:pStyle w:val="Normal"/>
        <w:tabs>
          <w:tab w:val="clear" w:pos="720"/>
          <w:tab w:val="left" w:pos="990" w:leader="none"/>
          <w:tab w:val="left" w:pos="5760" w:leader="none"/>
        </w:tabs>
        <w:jc w:val="both"/>
        <w:rPr/>
      </w:pPr>
      <w:r>
        <w:rPr/>
      </w:r>
    </w:p>
    <w:p>
      <w:pPr>
        <w:pStyle w:val="Normal"/>
        <w:tabs>
          <w:tab w:val="clear" w:pos="720"/>
          <w:tab w:val="left" w:pos="990" w:leader="none"/>
          <w:tab w:val="left" w:pos="5760" w:leader="none"/>
        </w:tabs>
        <w:ind w:start="720" w:end="0"/>
        <w:jc w:val="both"/>
        <w:rPr/>
      </w:pPr>
      <w:r>
        <w:rPr/>
        <w:t>Re:   Master Cross-Product Netting, Setoff, and Security Agreement dated as of March 14, 2001, by and among The New Power Company ("</w:t>
      </w:r>
      <w:r>
        <w:rPr>
          <w:u w:val="single"/>
        </w:rPr>
        <w:t>NewPower</w:t>
      </w:r>
      <w:r>
        <w:rPr/>
        <w:t>"), Enron North America Corp. ("</w:t>
      </w:r>
      <w:r>
        <w:rPr>
          <w:u w:val="single"/>
        </w:rPr>
        <w:t>ENA</w:t>
      </w:r>
      <w:r>
        <w:rPr/>
        <w:t>") and Enron Energy Services, Inc. ("</w:t>
      </w:r>
      <w:r>
        <w:rPr>
          <w:u w:val="single"/>
        </w:rPr>
        <w:t>EES</w:t>
      </w:r>
      <w:r>
        <w:rPr/>
        <w:t>"), as amended by that certain First Amendment to Master Cross-Product Netting, Setoff, and Security Agreement dated as of May 4, 2001 among NewPower, ENA, EES and Enron Power Marketing, Inc. ("</w:t>
      </w:r>
      <w:r>
        <w:rPr>
          <w:u w:val="single"/>
        </w:rPr>
        <w:t>EPMI</w:t>
      </w:r>
      <w:r>
        <w:rPr/>
        <w:t>") dated as of October 9, 2000 (as so amended, the "</w:t>
      </w:r>
      <w:r>
        <w:rPr>
          <w:u w:val="single"/>
        </w:rPr>
        <w:t>Master Netting Agreement</w:t>
      </w:r>
      <w:r>
        <w:rPr/>
        <w:t>")</w:t>
      </w:r>
    </w:p>
    <w:p>
      <w:pPr>
        <w:pStyle w:val="Normal"/>
        <w:tabs>
          <w:tab w:val="clear" w:pos="720"/>
          <w:tab w:val="left" w:pos="990" w:leader="none"/>
          <w:tab w:val="left" w:pos="5760" w:leader="none"/>
        </w:tabs>
        <w:jc w:val="both"/>
        <w:rPr/>
      </w:pPr>
      <w:r>
        <w:rPr/>
      </w:r>
    </w:p>
    <w:p>
      <w:pPr>
        <w:pStyle w:val="Normal"/>
        <w:tabs>
          <w:tab w:val="clear" w:pos="720"/>
          <w:tab w:val="left" w:pos="990" w:leader="none"/>
          <w:tab w:val="left" w:pos="5760" w:leader="none"/>
        </w:tabs>
        <w:jc w:val="both"/>
        <w:rPr/>
      </w:pPr>
      <w:r>
        <w:rPr/>
        <w:t xml:space="preserve">Dear Sirs: </w:t>
      </w:r>
    </w:p>
    <w:p>
      <w:pPr>
        <w:pStyle w:val="Normal"/>
        <w:tabs>
          <w:tab w:val="clear" w:pos="720"/>
          <w:tab w:val="left" w:pos="990" w:leader="none"/>
          <w:tab w:val="left" w:pos="5760" w:leader="none"/>
        </w:tabs>
        <w:jc w:val="both"/>
        <w:rPr/>
      </w:pPr>
      <w:r>
        <w:rPr/>
      </w:r>
    </w:p>
    <w:p>
      <w:pPr>
        <w:pStyle w:val="BodyText"/>
        <w:rPr/>
      </w:pPr>
      <w:r>
        <w:rPr/>
        <w:tab/>
        <w:t>Reference is made to the Master Netting Agreement and to the following agreements, each of which constitutes an Underlying Master Agreement as defined in the Master Netting Agreement:</w:t>
      </w:r>
    </w:p>
    <w:p>
      <w:pPr>
        <w:pStyle w:val="BodyText"/>
        <w:rPr/>
      </w:pPr>
      <w:r>
        <w:rPr/>
      </w:r>
    </w:p>
    <w:p>
      <w:pPr>
        <w:pStyle w:val="OmniPage2"/>
        <w:tabs>
          <w:tab w:val="clear" w:pos="720"/>
          <w:tab w:val="left" w:pos="795" w:leader="none"/>
          <w:tab w:val="left" w:pos="1515" w:leader="none"/>
          <w:tab w:val="left" w:pos="1830" w:leader="none"/>
          <w:tab w:val="right" w:pos="9390" w:leader="none"/>
        </w:tabs>
        <w:jc w:val="both"/>
        <w:rPr/>
      </w:pPr>
      <w:r>
        <w:rPr>
          <w:sz w:val="24"/>
        </w:rPr>
        <w:t>(a) Enfolio</w:t>
      </w:r>
      <w:r>
        <w:rPr>
          <w:sz w:val="24"/>
          <w:vertAlign w:val="superscript"/>
        </w:rPr>
        <w:t>®</w:t>
      </w:r>
      <w:r>
        <w:rPr>
          <w:sz w:val="24"/>
        </w:rPr>
        <w:t xml:space="preserve"> Master Firm Purchase/Sale Agreement, dated as of January 1, 2000, now between NewPower and ENA, previously assigned to NewPower by Columbia Energy Services Corporation pursuant to that certain Asset Purchase Agreement dated June 29, 2000, together with all confirmations, annexes, appendices, and exhibits thereto and transactions thereunder (as may have been amended from time to time, the "</w:t>
      </w:r>
      <w:r>
        <w:rPr>
          <w:sz w:val="24"/>
          <w:u w:val="single"/>
        </w:rPr>
        <w:t>ENA-NewPower Enfolio</w:t>
      </w:r>
      <w:r>
        <w:rPr>
          <w:sz w:val="24"/>
          <w:u w:val="single"/>
          <w:vertAlign w:val="superscript"/>
        </w:rPr>
        <w:t xml:space="preserve">® </w:t>
      </w:r>
      <w:r>
        <w:rPr>
          <w:sz w:val="24"/>
          <w:u w:val="single"/>
        </w:rPr>
        <w:t>Master Agreement</w:t>
      </w:r>
      <w:r>
        <w:rPr>
          <w:sz w:val="24"/>
        </w:rPr>
        <w:t>");</w:t>
      </w:r>
    </w:p>
    <w:p>
      <w:pPr>
        <w:pStyle w:val="OmniPage2"/>
        <w:tabs>
          <w:tab w:val="clear" w:pos="720"/>
          <w:tab w:val="left" w:pos="795" w:leader="none"/>
          <w:tab w:val="left" w:pos="1515" w:leader="none"/>
          <w:tab w:val="left" w:pos="1830" w:leader="none"/>
          <w:tab w:val="right" w:pos="9390" w:leader="none"/>
        </w:tabs>
        <w:jc w:val="both"/>
        <w:rPr>
          <w:sz w:val="24"/>
        </w:rPr>
      </w:pPr>
      <w:r>
        <w:rPr>
          <w:sz w:val="24"/>
        </w:rPr>
      </w:r>
    </w:p>
    <w:p>
      <w:pPr>
        <w:pStyle w:val="OmniPage2"/>
        <w:tabs>
          <w:tab w:val="clear" w:pos="720"/>
          <w:tab w:val="left" w:pos="795" w:leader="none"/>
          <w:tab w:val="left" w:pos="1515" w:leader="none"/>
          <w:tab w:val="left" w:pos="1830" w:leader="none"/>
          <w:tab w:val="right" w:pos="9390" w:leader="none"/>
        </w:tabs>
        <w:jc w:val="both"/>
        <w:rPr/>
      </w:pPr>
      <w:r>
        <w:rPr>
          <w:sz w:val="24"/>
        </w:rPr>
        <w:t>(b) ISDA Master Agreement, dated as of August 10, 2000, between NewPower and ENA, together with all confirmations, annexes, appendices, and exhibits thereto and transactions thereunder (as may have been amended from time to time, the "</w:t>
      </w:r>
      <w:r>
        <w:rPr>
          <w:sz w:val="24"/>
          <w:u w:val="single"/>
        </w:rPr>
        <w:t>ENA-NewPower ISDA Master Agreement</w:t>
      </w:r>
      <w:r>
        <w:rPr>
          <w:sz w:val="24"/>
        </w:rPr>
        <w:t>");</w:t>
      </w:r>
    </w:p>
    <w:p>
      <w:pPr>
        <w:pStyle w:val="OmniPage2"/>
        <w:tabs>
          <w:tab w:val="clear" w:pos="720"/>
          <w:tab w:val="left" w:pos="795" w:leader="none"/>
          <w:tab w:val="left" w:pos="1515" w:leader="none"/>
          <w:tab w:val="left" w:pos="1830" w:leader="none"/>
          <w:tab w:val="right" w:pos="9390" w:leader="none"/>
        </w:tabs>
        <w:jc w:val="both"/>
        <w:rPr>
          <w:sz w:val="24"/>
        </w:rPr>
      </w:pPr>
      <w:r>
        <w:rPr>
          <w:sz w:val="24"/>
        </w:rPr>
      </w:r>
    </w:p>
    <w:p>
      <w:pPr>
        <w:pStyle w:val="OmniPage2"/>
        <w:tabs>
          <w:tab w:val="clear" w:pos="720"/>
          <w:tab w:val="left" w:pos="795" w:leader="none"/>
          <w:tab w:val="left" w:pos="1500" w:leader="none"/>
          <w:tab w:val="left" w:pos="1830" w:leader="none"/>
          <w:tab w:val="right" w:pos="9406" w:leader="none"/>
        </w:tabs>
        <w:jc w:val="both"/>
        <w:rPr/>
      </w:pPr>
      <w:r>
        <w:rPr>
          <w:sz w:val="24"/>
        </w:rPr>
        <w:t>(c) Master Purchase &amp; Sales Agreement, dated as of January 6, 2000, now between NewPower and EES, previously assigned to NewPower by NewPower Holdings, Inc. ("</w:t>
      </w:r>
      <w:r>
        <w:rPr>
          <w:sz w:val="24"/>
          <w:u w:val="single"/>
        </w:rPr>
        <w:t>Holdings</w:t>
      </w:r>
      <w:r>
        <w:rPr>
          <w:sz w:val="24"/>
        </w:rPr>
        <w:t>") (f/k/a TNPC, Inc., f/k/a EMW Energy Services Corp.) pursuant to that certain Assignment and Consent, dated as of March 1, 2001 (the "</w:t>
      </w:r>
      <w:r>
        <w:rPr>
          <w:sz w:val="24"/>
          <w:u w:val="single"/>
        </w:rPr>
        <w:t>Assignment Agreement</w:t>
      </w:r>
      <w:r>
        <w:rPr>
          <w:sz w:val="24"/>
        </w:rPr>
        <w:t>"), together with all confirmations, annexes, appendices, and exhibits thereto and transactions thereunder (as may have been amended from time to time, the "</w:t>
      </w:r>
      <w:r>
        <w:rPr>
          <w:sz w:val="24"/>
          <w:u w:val="single"/>
        </w:rPr>
        <w:t>EES-NewPower Master Gas Agreement</w:t>
      </w:r>
      <w:r>
        <w:rPr>
          <w:sz w:val="24"/>
        </w:rPr>
        <w:t>");</w:t>
      </w:r>
    </w:p>
    <w:p>
      <w:pPr>
        <w:pStyle w:val="OmniPage2"/>
        <w:tabs>
          <w:tab w:val="clear" w:pos="720"/>
          <w:tab w:val="left" w:pos="795" w:leader="none"/>
          <w:tab w:val="left" w:pos="1500" w:leader="none"/>
          <w:tab w:val="left" w:pos="1830" w:leader="none"/>
          <w:tab w:val="right" w:pos="9406" w:leader="none"/>
        </w:tabs>
        <w:jc w:val="both"/>
        <w:rPr>
          <w:sz w:val="24"/>
        </w:rPr>
      </w:pPr>
      <w:r>
        <w:rPr>
          <w:sz w:val="24"/>
        </w:rPr>
      </w:r>
    </w:p>
    <w:p>
      <w:pPr>
        <w:pStyle w:val="OmniPage2"/>
        <w:tabs>
          <w:tab w:val="clear" w:pos="720"/>
          <w:tab w:val="left" w:pos="795" w:leader="none"/>
          <w:tab w:val="left" w:pos="1500" w:leader="none"/>
          <w:tab w:val="left" w:pos="1830" w:leader="none"/>
          <w:tab w:val="right" w:pos="9406" w:leader="none"/>
        </w:tabs>
        <w:jc w:val="both"/>
        <w:rPr/>
      </w:pPr>
      <w:r>
        <w:rPr>
          <w:sz w:val="24"/>
        </w:rPr>
        <w:t>(d) Master Energy Purchase &amp; Sale Agreement, effective as of January 6, 2000, now between NewPower and EES, previously assigned to NewPower by Holdings pursuant to the Assignment Agreement, together with all confirmations, annexes, appendices, and exhibits thereto and transactions thereunder (as may have been amended from time to time, the "</w:t>
      </w:r>
      <w:r>
        <w:rPr>
          <w:sz w:val="24"/>
          <w:u w:val="single"/>
        </w:rPr>
        <w:t>EES-NewPower Master Power Agreement</w:t>
      </w:r>
      <w:r>
        <w:rPr>
          <w:sz w:val="24"/>
        </w:rPr>
        <w:t>"); and</w:t>
      </w:r>
    </w:p>
    <w:p>
      <w:pPr>
        <w:pStyle w:val="OmniPage2"/>
        <w:tabs>
          <w:tab w:val="clear" w:pos="720"/>
          <w:tab w:val="left" w:pos="795" w:leader="none"/>
          <w:tab w:val="left" w:pos="1500" w:leader="none"/>
          <w:tab w:val="left" w:pos="1830" w:leader="none"/>
          <w:tab w:val="right" w:pos="9406" w:leader="none"/>
        </w:tabs>
        <w:jc w:val="both"/>
        <w:rPr>
          <w:sz w:val="24"/>
        </w:rPr>
      </w:pPr>
      <w:r>
        <w:rPr>
          <w:sz w:val="24"/>
        </w:rPr>
      </w:r>
    </w:p>
    <w:p>
      <w:pPr>
        <w:pStyle w:val="Normal"/>
        <w:jc w:val="both"/>
        <w:rPr/>
      </w:pPr>
      <w:r>
        <w:rPr>
          <w:sz w:val="22"/>
        </w:rPr>
        <w:t xml:space="preserve">(e) Master Power Purchase &amp; Sale Agreement, dated as of May 4, 2001, between NewPower and EPMI, </w:t>
      </w:r>
      <w:r>
        <w:rPr/>
        <w:t>together with all confirmations, annexes, appendices, and exhibits thereto and transactions thereunder (as may have been amended from time to time,</w:t>
      </w:r>
      <w:r>
        <w:rPr>
          <w:sz w:val="22"/>
        </w:rPr>
        <w:t xml:space="preserve"> the "</w:t>
      </w:r>
      <w:r>
        <w:rPr>
          <w:sz w:val="22"/>
          <w:u w:val="single"/>
        </w:rPr>
        <w:t>NewPower-EPMI Power Master Agreement</w:t>
      </w:r>
      <w:r>
        <w:rPr>
          <w:sz w:val="22"/>
        </w:rPr>
        <w:t>").</w:t>
      </w:r>
    </w:p>
    <w:p>
      <w:pPr>
        <w:pStyle w:val="OmniPage2"/>
        <w:tabs>
          <w:tab w:val="clear" w:pos="720"/>
          <w:tab w:val="left" w:pos="795" w:leader="none"/>
          <w:tab w:val="left" w:pos="1500" w:leader="none"/>
          <w:tab w:val="left" w:pos="1830" w:leader="none"/>
          <w:tab w:val="right" w:pos="9406" w:leader="none"/>
        </w:tabs>
        <w:jc w:val="both"/>
        <w:rPr>
          <w:sz w:val="24"/>
        </w:rPr>
      </w:pPr>
      <w:r>
        <w:rPr>
          <w:sz w:val="24"/>
        </w:rPr>
      </w:r>
    </w:p>
    <w:p>
      <w:pPr>
        <w:pStyle w:val="OmniPage2"/>
        <w:tabs>
          <w:tab w:val="clear" w:pos="720"/>
          <w:tab w:val="left" w:pos="795" w:leader="none"/>
          <w:tab w:val="left" w:pos="1500" w:leader="none"/>
          <w:tab w:val="left" w:pos="1830" w:leader="none"/>
          <w:tab w:val="right" w:pos="9406" w:leader="none"/>
        </w:tabs>
        <w:jc w:val="both"/>
        <w:rPr>
          <w:sz w:val="24"/>
        </w:rPr>
      </w:pPr>
      <w:r>
        <w:rPr>
          <w:sz w:val="24"/>
        </w:rPr>
        <w:t>All capitalized terms herein used shall have the meanings ascribed to them in the Master Netting Agreement unless otherwise herein defined or identified.</w:t>
      </w:r>
    </w:p>
    <w:p>
      <w:pPr>
        <w:pStyle w:val="BodyText"/>
        <w:rPr>
          <w:sz w:val="24"/>
        </w:rPr>
      </w:pPr>
      <w:r>
        <w:rPr>
          <w:sz w:val="24"/>
        </w:rPr>
      </w:r>
    </w:p>
    <w:p>
      <w:pPr>
        <w:pStyle w:val="BodyText"/>
        <w:rPr/>
      </w:pPr>
      <w:r>
        <w:rPr/>
        <w:tab/>
        <w:t>NewPower has failed to transfer Collateral to the Enron Parties as required under Section 6(g) of the Master Netting Agreement.  This letter constitutes notice to you of the following:</w:t>
      </w:r>
    </w:p>
    <w:p>
      <w:pPr>
        <w:pStyle w:val="Normal"/>
        <w:tabs>
          <w:tab w:val="clear" w:pos="720"/>
          <w:tab w:val="left" w:pos="990" w:leader="none"/>
          <w:tab w:val="left" w:pos="5760" w:leader="none"/>
        </w:tabs>
        <w:jc w:val="both"/>
        <w:rPr/>
      </w:pPr>
      <w:r>
        <w:rPr/>
        <w:tab/>
      </w:r>
    </w:p>
    <w:p>
      <w:pPr>
        <w:pStyle w:val="Normal"/>
        <w:tabs>
          <w:tab w:val="left" w:pos="720" w:leader="none"/>
          <w:tab w:val="left" w:pos="1440" w:leader="none"/>
          <w:tab w:val="left" w:pos="1800" w:leader="none"/>
          <w:tab w:val="left" w:pos="5760" w:leader="none"/>
        </w:tabs>
        <w:ind w:hanging="1800" w:start="1800" w:end="0"/>
        <w:jc w:val="both"/>
        <w:rPr/>
      </w:pPr>
      <w:r>
        <w:rPr/>
        <w:tab/>
        <w:tab/>
        <w:t>(a) the failure of NewPower to transfer Collateral as constitutes an Event of Default pursuant to Section 5.1 of the Master Agreement; and</w:t>
      </w:r>
    </w:p>
    <w:p>
      <w:pPr>
        <w:pStyle w:val="Normal"/>
        <w:tabs>
          <w:tab w:val="clear" w:pos="720"/>
          <w:tab w:val="left" w:pos="990" w:leader="none"/>
          <w:tab w:val="left" w:pos="5760" w:leader="none"/>
        </w:tabs>
        <w:jc w:val="both"/>
        <w:rPr/>
      </w:pPr>
      <w:r>
        <w:rPr/>
      </w:r>
    </w:p>
    <w:p>
      <w:pPr>
        <w:pStyle w:val="Normal"/>
        <w:tabs>
          <w:tab w:val="left" w:pos="720" w:leader="none"/>
          <w:tab w:val="left" w:pos="1440" w:leader="none"/>
          <w:tab w:val="left" w:pos="1800" w:leader="none"/>
          <w:tab w:val="left" w:pos="5760" w:leader="none"/>
        </w:tabs>
        <w:ind w:hanging="1800" w:start="1800" w:end="0"/>
        <w:jc w:val="both"/>
        <w:rPr/>
      </w:pPr>
      <w:r>
        <w:rPr/>
        <w:tab/>
        <w:tab/>
        <w:t xml:space="preserve">(b)  EPMI hereby designates April 9, 2001 as an Early Termination Date pursuant to Section 5.2 of the Master Agreement as to all Transactions under the Master Agreement.  </w:t>
      </w:r>
    </w:p>
    <w:p>
      <w:pPr>
        <w:pStyle w:val="Normal"/>
        <w:tabs>
          <w:tab w:val="clear" w:pos="720"/>
          <w:tab w:val="left" w:pos="990" w:leader="none"/>
          <w:tab w:val="left" w:pos="5760" w:leader="none"/>
        </w:tabs>
        <w:jc w:val="both"/>
        <w:rPr/>
      </w:pPr>
      <w:r>
        <w:rPr/>
      </w:r>
    </w:p>
    <w:p>
      <w:pPr>
        <w:pStyle w:val="Normal"/>
        <w:tabs>
          <w:tab w:val="left" w:pos="720" w:leader="none"/>
        </w:tabs>
        <w:jc w:val="both"/>
        <w:rPr/>
      </w:pPr>
      <w:r>
        <w:rPr/>
        <w:tab/>
        <w:t>This termination of the Transactions constitutes termination of forward contracts as permitted by Section 556 of the Bankruptcy Code because of the occurrence of a condition specified in Section 365(e)(1) of the Bankruptcy Code.</w:t>
      </w:r>
    </w:p>
    <w:p>
      <w:pPr>
        <w:pStyle w:val="Normal"/>
        <w:tabs>
          <w:tab w:val="clear" w:pos="720"/>
          <w:tab w:val="left" w:pos="990" w:leader="none"/>
          <w:tab w:val="left" w:pos="5760" w:leader="none"/>
        </w:tabs>
        <w:jc w:val="both"/>
        <w:rPr/>
      </w:pPr>
      <w:r>
        <w:rPr/>
      </w:r>
    </w:p>
    <w:p>
      <w:pPr>
        <w:pStyle w:val="Normal"/>
        <w:tabs>
          <w:tab w:val="left" w:pos="720" w:leader="none"/>
          <w:tab w:val="left" w:pos="5760" w:leader="none"/>
        </w:tabs>
        <w:jc w:val="both"/>
        <w:rPr/>
      </w:pPr>
      <w:r>
        <w:rPr/>
        <w:tab/>
        <w:t>EPMI preserves all rights of setoff pursuant to Section 5.6 of the Master Agreement, including any right of setoff, combination of accounts, lien or other right to which EPMI is at any time entitled (whether by operation of law, contract or otherwise).</w:t>
      </w:r>
    </w:p>
    <w:p>
      <w:pPr>
        <w:pStyle w:val="Normal"/>
        <w:tabs>
          <w:tab w:val="clear" w:pos="720"/>
          <w:tab w:val="left" w:pos="7065" w:leader="none"/>
        </w:tabs>
        <w:jc w:val="both"/>
        <w:rPr/>
      </w:pPr>
      <w:r>
        <w:rPr/>
        <w:tab/>
      </w:r>
    </w:p>
    <w:p>
      <w:pPr>
        <w:pStyle w:val="Normal"/>
        <w:tabs>
          <w:tab w:val="left" w:pos="720" w:leader="none"/>
          <w:tab w:val="left" w:pos="5760" w:leader="none"/>
        </w:tabs>
        <w:jc w:val="both"/>
        <w:rPr/>
      </w:pPr>
      <w:r>
        <w:rPr/>
        <w:tab/>
        <w:t>In accordance with Article Five of the Master Agreement, an accounting of the Termination Payment owed to or owing by PG&amp;E and any setoffs exercised by EPMI will be provided to you in due course.</w:t>
      </w:r>
    </w:p>
    <w:p>
      <w:pPr>
        <w:pStyle w:val="Normal"/>
        <w:tabs>
          <w:tab w:val="clear" w:pos="720"/>
          <w:tab w:val="left" w:pos="990" w:leader="none"/>
          <w:tab w:val="left" w:pos="5760" w:leader="none"/>
        </w:tabs>
        <w:jc w:val="center"/>
        <w:rPr/>
      </w:pPr>
      <w:r>
        <w:rPr/>
      </w:r>
    </w:p>
    <w:p>
      <w:pPr>
        <w:pStyle w:val="Normal"/>
        <w:tabs>
          <w:tab w:val="clear" w:pos="720"/>
          <w:tab w:val="left" w:pos="990" w:leader="none"/>
          <w:tab w:val="left" w:pos="5760" w:leader="none"/>
        </w:tabs>
        <w:jc w:val="both"/>
        <w:rPr/>
      </w:pPr>
      <w:r>
        <w:rPr/>
      </w:r>
    </w:p>
    <w:p>
      <w:pPr>
        <w:pStyle w:val="Normal"/>
        <w:tabs>
          <w:tab w:val="clear" w:pos="720"/>
          <w:tab w:val="left" w:pos="990" w:leader="none"/>
          <w:tab w:val="left" w:pos="5760" w:leader="none"/>
        </w:tabs>
        <w:jc w:val="both"/>
        <w:rPr/>
      </w:pPr>
      <w:r>
        <w:rPr/>
      </w:r>
    </w:p>
    <w:p>
      <w:pPr>
        <w:pStyle w:val="Normal"/>
        <w:tabs>
          <w:tab w:val="clear" w:pos="720"/>
          <w:tab w:val="left" w:pos="990" w:leader="none"/>
          <w:tab w:val="left" w:pos="5760" w:leader="none"/>
        </w:tabs>
        <w:jc w:val="both"/>
        <w:rPr/>
      </w:pPr>
      <w:r>
        <w:rPr/>
      </w:r>
    </w:p>
    <w:p>
      <w:pPr>
        <w:pStyle w:val="Normal"/>
        <w:tabs>
          <w:tab w:val="left" w:pos="720" w:leader="none"/>
        </w:tabs>
        <w:jc w:val="both"/>
        <w:rPr/>
      </w:pPr>
      <w:r>
        <w:rPr/>
        <w:tab/>
        <w:t>We note from the record that James L. Lopes of Howard, Rice, Nemerovski, Canady, Falk &amp; Rabkin represents you with respect to the proceedings.  We are therefore providing Howard, Rice, Nemerovski, Canady, Falk &amp; Rabkin with a copy of this letter.</w:t>
      </w:r>
    </w:p>
    <w:p>
      <w:pPr>
        <w:pStyle w:val="Normal"/>
        <w:jc w:val="both"/>
        <w:rPr/>
      </w:pPr>
      <w:r>
        <w:rPr/>
      </w:r>
    </w:p>
    <w:p>
      <w:pPr>
        <w:pStyle w:val="Normal"/>
        <w:jc w:val="both"/>
        <w:rPr/>
      </w:pPr>
      <w:r>
        <w:rPr/>
        <w:tab/>
        <w:tab/>
        <w:tab/>
        <w:tab/>
        <w:tab/>
        <w:t>Very truly yours,</w:t>
      </w:r>
    </w:p>
    <w:p>
      <w:pPr>
        <w:pStyle w:val="Normal"/>
        <w:tabs>
          <w:tab w:val="clear" w:pos="720"/>
          <w:tab w:val="left" w:pos="990" w:leader="none"/>
          <w:tab w:val="left" w:pos="5760" w:leader="none"/>
        </w:tabs>
        <w:jc w:val="both"/>
        <w:rPr/>
      </w:pPr>
      <w:r>
        <w:rPr/>
      </w:r>
    </w:p>
    <w:p>
      <w:pPr>
        <w:pStyle w:val="Normal"/>
        <w:tabs>
          <w:tab w:val="clear" w:pos="720"/>
          <w:tab w:val="left" w:pos="990" w:leader="none"/>
          <w:tab w:val="left" w:pos="4320" w:leader="none"/>
        </w:tabs>
        <w:jc w:val="both"/>
        <w:rPr/>
      </w:pPr>
      <w:r>
        <w:rPr/>
      </w:r>
    </w:p>
    <w:p>
      <w:pPr>
        <w:pStyle w:val="Normal"/>
        <w:tabs>
          <w:tab w:val="clear" w:pos="720"/>
          <w:tab w:val="left" w:pos="990" w:leader="none"/>
          <w:tab w:val="left" w:pos="3600" w:leader="none"/>
        </w:tabs>
        <w:jc w:val="both"/>
        <w:rPr/>
      </w:pPr>
      <w:r>
        <w:rPr/>
        <w:tab/>
        <w:tab/>
        <w:t>Enron Power Marketing, Inc.</w:t>
      </w:r>
    </w:p>
    <w:p>
      <w:pPr>
        <w:pStyle w:val="Normal"/>
        <w:tabs>
          <w:tab w:val="clear" w:pos="720"/>
          <w:tab w:val="left" w:pos="990" w:leader="none"/>
          <w:tab w:val="left" w:pos="3600" w:leader="none"/>
          <w:tab w:val="left" w:pos="4320" w:leader="none"/>
        </w:tabs>
        <w:jc w:val="both"/>
        <w:rPr/>
      </w:pPr>
      <w:r>
        <w:rPr/>
      </w:r>
    </w:p>
    <w:p>
      <w:pPr>
        <w:pStyle w:val="Normal"/>
        <w:tabs>
          <w:tab w:val="clear" w:pos="720"/>
          <w:tab w:val="left" w:pos="990" w:leader="none"/>
          <w:tab w:val="left" w:pos="3600" w:leader="none"/>
          <w:tab w:val="left" w:pos="4320" w:leader="none"/>
        </w:tabs>
        <w:jc w:val="both"/>
        <w:rPr/>
      </w:pPr>
      <w:r>
        <w:rPr/>
        <w:tab/>
        <w:tab/>
        <w:t>______________________________________</w:t>
      </w:r>
    </w:p>
    <w:p>
      <w:pPr>
        <w:pStyle w:val="Normal"/>
        <w:tabs>
          <w:tab w:val="clear" w:pos="720"/>
          <w:tab w:val="left" w:pos="990" w:leader="none"/>
          <w:tab w:val="left" w:pos="3600" w:leader="none"/>
          <w:tab w:val="left" w:pos="4320" w:leader="none"/>
        </w:tabs>
        <w:jc w:val="both"/>
        <w:rPr/>
      </w:pPr>
      <w:r>
        <w:rPr/>
        <w:tab/>
        <w:tab/>
        <w:t xml:space="preserve">Per:  </w:t>
      </w:r>
    </w:p>
    <w:p>
      <w:pPr>
        <w:pStyle w:val="Normal"/>
        <w:tabs>
          <w:tab w:val="clear" w:pos="720"/>
          <w:tab w:val="left" w:pos="990" w:leader="none"/>
          <w:tab w:val="left" w:pos="3600" w:leader="none"/>
          <w:tab w:val="left" w:pos="4320" w:leader="none"/>
        </w:tabs>
        <w:jc w:val="both"/>
        <w:rPr/>
      </w:pPr>
      <w:r>
        <w:rPr/>
        <w:tab/>
        <w:tab/>
        <w:t xml:space="preserve">Title:  </w:t>
      </w:r>
    </w:p>
    <w:p>
      <w:pPr>
        <w:pStyle w:val="Normal"/>
        <w:tabs>
          <w:tab w:val="clear" w:pos="720"/>
          <w:tab w:val="left" w:pos="990" w:leader="none"/>
          <w:tab w:val="left" w:pos="3600" w:leader="none"/>
          <w:tab w:val="left" w:pos="4320" w:leader="none"/>
        </w:tabs>
        <w:jc w:val="both"/>
        <w:rPr/>
      </w:pPr>
      <w:r>
        <w:rPr/>
      </w:r>
    </w:p>
    <w:p>
      <w:pPr>
        <w:pStyle w:val="Normal"/>
        <w:tabs>
          <w:tab w:val="clear" w:pos="720"/>
          <w:tab w:val="left" w:pos="990" w:leader="none"/>
          <w:tab w:val="left" w:pos="3600" w:leader="none"/>
          <w:tab w:val="left" w:pos="4320" w:leader="none"/>
        </w:tabs>
        <w:jc w:val="both"/>
        <w:rPr/>
      </w:pPr>
      <w:r>
        <w:rPr/>
      </w:r>
    </w:p>
    <w:p>
      <w:pPr>
        <w:pStyle w:val="Normal"/>
        <w:jc w:val="both"/>
        <w:rPr/>
      </w:pPr>
      <w:r>
        <w:rPr/>
        <w:t>cc:  James L. Lopes (by facsimile:  415-217-5910)</w:t>
      </w:r>
    </w:p>
    <w:p>
      <w:pPr>
        <w:pStyle w:val="Normal"/>
        <w:tabs>
          <w:tab w:val="clear" w:pos="720"/>
          <w:tab w:val="left" w:pos="990" w:leader="none"/>
          <w:tab w:val="left" w:pos="3600" w:leader="none"/>
          <w:tab w:val="left" w:pos="4320" w:leader="none"/>
        </w:tabs>
        <w:jc w:val="both"/>
        <w:rPr/>
      </w:pPr>
      <w:r>
        <w:rPr/>
      </w:r>
    </w:p>
    <w:p>
      <w:pPr>
        <w:pStyle w:val="Normal"/>
        <w:tabs>
          <w:tab w:val="clear" w:pos="720"/>
          <w:tab w:val="left" w:pos="990" w:leader="none"/>
          <w:tab w:val="left" w:pos="3600" w:leader="none"/>
          <w:tab w:val="left" w:pos="4320" w:leader="none"/>
        </w:tabs>
        <w:jc w:val="both"/>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/mnt/main-storage/datasets/enron-docs/doc/Event_of_Default_New_Power.DOC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/mnt/main-storage/datasets/enron-docs/doc/Event_of_Default_New_Power.DOC</w:t>
    </w:r>
    <w:r>
      <w:rPr>
        <w:sz w:val="14"/>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April 9, 2001</w:t>
    </w:r>
  </w:p>
  <w:p>
    <w:pPr>
      <w:pStyle w:val="Header"/>
      <w:rPr/>
    </w:pP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3"/>
        <w:numId w:val="1"/>
      </w:numPr>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2z0">
    <w:name w:val="WW8Num2z0"/>
    <w:qFormat/>
    <w:rPr>
      <w:color w:val="000000"/>
    </w:rPr>
  </w:style>
  <w:style w:type="character" w:styleId="DefaultParagraphFont">
    <w:name w:val="Default Paragraph Font"/>
    <w:qFormat/>
    <w:rPr/>
  </w:style>
  <w:style w:type="character" w:styleId="Hidden">
    <w:name w:val="Hidden"/>
    <w:basedOn w:val="DefaultParagraphFont"/>
    <w:qFormat/>
    <w:rPr>
      <w:vanish/>
      <w:color w:val="FF0000"/>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OmniPage2">
    <w:name w:val="OmniPage #2"/>
    <w:basedOn w:val="Normal"/>
    <w:qFormat/>
    <w:pPr/>
    <w:rPr>
      <w:sz w:val="20"/>
    </w:rPr>
  </w:style>
  <w:style w:type="paragraph" w:styleId="OmniPage5">
    <w:name w:val="OmniPage #5"/>
    <w:basedOn w:val="Normal"/>
    <w:qFormat/>
    <w:pPr/>
    <w:rPr>
      <w:sz w:val="20"/>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2001-09-25T16:14:00Z</dcterms:created>
  <dc:creator>LeBoeuf, Lamb, Greene &amp; MacRae, L.L.P.</dc:creator>
  <dc:description/>
  <cp:keywords>HN 46638.1 02618 00125 4/8/01 3:46:32 PM</cp:keywords>
  <dc:language>en-CA</dc:language>
  <cp:lastModifiedBy>mcook</cp:lastModifiedBy>
  <cp:lastPrinted>2001-09-25T19:52:00Z</cp:lastPrinted>
  <dcterms:modified xsi:type="dcterms:W3CDTF">2001-09-25T22:22:00Z</dcterms:modified>
  <cp:revision>5</cp:revision>
  <dc:subject/>
  <dc:title>Heading 1</dc:title>
</cp:coreProperties>
</file>