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lineRule="atLeast" w:line="240" w:before="120" w:after="120"/>
        <w:ind w:start="40" w:end="40"/>
        <w:rPr>
          <w:rFonts w:ascii="Arial" w:hAnsi="Arial" w:cs="Arial"/>
          <w:b/>
          <w:color w:val="000000"/>
          <w:sz w:val="28"/>
          <w:lang w:val="en-AU" w:eastAsia="en-US"/>
        </w:rPr>
      </w:pPr>
      <w:r>
        <w:rPr>
          <w:rFonts w:cs="Arial" w:ascii="Arial" w:hAnsi="Arial"/>
          <w:b/>
          <w:color w:val="000000"/>
          <w:sz w:val="28"/>
          <w:lang w:val="en-AU" w:eastAsia="en-US"/>
        </w:rPr>
      </w:r>
    </w:p>
    <w:p>
      <w:pPr>
        <w:pStyle w:val="H2"/>
        <w:rPr>
          <w:rFonts w:ascii="Arial" w:hAnsi="Arial" w:cs="Arial"/>
          <w:color w:val="000000"/>
          <w:sz w:val="18"/>
        </w:rPr>
      </w:pPr>
      <w:r>
        <w:rPr>
          <w:rFonts w:cs="Arial" w:ascii="Arial" w:hAnsi="Arial"/>
        </w:rPr>
        <w:t>European Petrochemicals Market</w:t>
      </w:r>
    </w:p>
    <w:p>
      <w:pPr>
        <w:pStyle w:val="H3"/>
        <w:rPr/>
      </w:pPr>
      <w:r>
        <w:rPr/>
        <w:t>Market Hours</w:t>
      </w:r>
    </w:p>
    <w:tbl>
      <w:tblPr>
        <w:tblW w:w="9358" w:type="dxa"/>
        <w:jc w:val="start"/>
        <w:tblInd w:w="30" w:type="dxa"/>
        <w:tblLayout w:type="fixed"/>
        <w:tblCellMar>
          <w:top w:w="0" w:type="dxa"/>
          <w:start w:w="30" w:type="dxa"/>
          <w:bottom w:w="0" w:type="dxa"/>
          <w:end w:w="30" w:type="dxa"/>
        </w:tblCellMar>
      </w:tblPr>
      <w:tblGrid>
        <w:gridCol w:w="2209"/>
        <w:gridCol w:w="860"/>
        <w:gridCol w:w="860"/>
        <w:gridCol w:w="1197"/>
        <w:gridCol w:w="4232"/>
      </w:tblGrid>
      <w:tr>
        <w:trPr/>
        <w:tc>
          <w:tcPr>
            <w:tcW w:w="2209" w:type="dxa"/>
            <w:tcBorders/>
          </w:tcPr>
          <w:p>
            <w:pPr>
              <w:pStyle w:val="Normal"/>
              <w:rPr>
                <w:rFonts w:ascii="Arial" w:hAnsi="Arial" w:cs="Arial"/>
                <w:color w:val="000000"/>
              </w:rPr>
            </w:pPr>
            <w:r>
              <w:rPr>
                <w:rFonts w:cs="Arial" w:ascii="Arial" w:hAnsi="Arial"/>
                <w:b/>
                <w:color w:val="000000"/>
              </w:rPr>
              <w:t>Product Group</w:t>
            </w:r>
          </w:p>
        </w:tc>
        <w:tc>
          <w:tcPr>
            <w:tcW w:w="860" w:type="dxa"/>
            <w:tcBorders/>
          </w:tcPr>
          <w:p>
            <w:pPr>
              <w:pStyle w:val="Normal"/>
              <w:rPr>
                <w:rFonts w:ascii="Arial" w:hAnsi="Arial" w:cs="Arial"/>
                <w:color w:val="000000"/>
              </w:rPr>
            </w:pPr>
            <w:r>
              <w:rPr>
                <w:rFonts w:cs="Arial" w:ascii="Arial" w:hAnsi="Arial"/>
                <w:b/>
                <w:color w:val="000000"/>
              </w:rPr>
              <w:t>From</w:t>
            </w:r>
          </w:p>
        </w:tc>
        <w:tc>
          <w:tcPr>
            <w:tcW w:w="860" w:type="dxa"/>
            <w:tcBorders/>
          </w:tcPr>
          <w:p>
            <w:pPr>
              <w:pStyle w:val="Normal"/>
              <w:rPr>
                <w:rFonts w:ascii="Arial" w:hAnsi="Arial" w:cs="Arial"/>
                <w:color w:val="000000"/>
              </w:rPr>
            </w:pPr>
            <w:r>
              <w:rPr>
                <w:rFonts w:cs="Arial" w:ascii="Arial" w:hAnsi="Arial"/>
                <w:b/>
                <w:color w:val="000000"/>
              </w:rPr>
              <w:t>To</w:t>
            </w:r>
          </w:p>
        </w:tc>
        <w:tc>
          <w:tcPr>
            <w:tcW w:w="1197" w:type="dxa"/>
            <w:tcBorders/>
          </w:tcPr>
          <w:p>
            <w:pPr>
              <w:pStyle w:val="Normal"/>
              <w:rPr>
                <w:rFonts w:ascii="Arial" w:hAnsi="Arial" w:cs="Arial"/>
                <w:color w:val="000000"/>
              </w:rPr>
            </w:pPr>
            <w:r>
              <w:rPr>
                <w:rFonts w:cs="Arial" w:ascii="Arial" w:hAnsi="Arial"/>
                <w:b/>
                <w:color w:val="000000"/>
              </w:rPr>
              <w:t>Days</w:t>
            </w:r>
          </w:p>
        </w:tc>
        <w:tc>
          <w:tcPr>
            <w:tcW w:w="4232" w:type="dxa"/>
            <w:tcBorders/>
          </w:tcPr>
          <w:p>
            <w:pPr>
              <w:pStyle w:val="Normal"/>
              <w:rPr>
                <w:rFonts w:ascii="Arial" w:hAnsi="Arial" w:cs="Arial"/>
                <w:color w:val="000000"/>
              </w:rPr>
            </w:pPr>
            <w:r>
              <w:rPr>
                <w:rFonts w:cs="Arial" w:ascii="Arial" w:hAnsi="Arial"/>
                <w:b/>
                <w:color w:val="000000"/>
              </w:rPr>
              <w:t>Time Zone</w:t>
            </w:r>
          </w:p>
        </w:tc>
      </w:tr>
      <w:tr>
        <w:trPr/>
        <w:tc>
          <w:tcPr>
            <w:tcW w:w="2209" w:type="dxa"/>
            <w:tcBorders/>
          </w:tcPr>
          <w:p>
            <w:pPr>
              <w:pStyle w:val="Normal"/>
              <w:rPr>
                <w:rFonts w:ascii="Arial" w:hAnsi="Arial" w:cs="Arial"/>
                <w:color w:val="000000"/>
              </w:rPr>
            </w:pPr>
            <w:r>
              <w:rPr>
                <w:rFonts w:cs="Arial" w:ascii="Arial" w:hAnsi="Arial"/>
                <w:color w:val="000000"/>
              </w:rPr>
              <w:t>All Products</w:t>
            </w:r>
          </w:p>
        </w:tc>
        <w:tc>
          <w:tcPr>
            <w:tcW w:w="860" w:type="dxa"/>
            <w:tcBorders/>
          </w:tcPr>
          <w:p>
            <w:pPr>
              <w:pStyle w:val="Normal"/>
              <w:rPr>
                <w:rFonts w:ascii="Arial" w:hAnsi="Arial" w:cs="Arial"/>
                <w:color w:val="000000"/>
              </w:rPr>
            </w:pPr>
            <w:r>
              <w:rPr>
                <w:rFonts w:cs="Arial" w:ascii="Arial" w:hAnsi="Arial"/>
                <w:color w:val="000000"/>
              </w:rPr>
              <w:t>09:00</w:t>
            </w:r>
          </w:p>
        </w:tc>
        <w:tc>
          <w:tcPr>
            <w:tcW w:w="860" w:type="dxa"/>
            <w:tcBorders/>
          </w:tcPr>
          <w:p>
            <w:pPr>
              <w:pStyle w:val="Normal"/>
              <w:rPr>
                <w:rFonts w:ascii="Arial" w:hAnsi="Arial" w:cs="Arial"/>
                <w:color w:val="000000"/>
              </w:rPr>
            </w:pPr>
            <w:r>
              <w:rPr>
                <w:rFonts w:cs="Arial" w:ascii="Arial" w:hAnsi="Arial"/>
                <w:color w:val="000000"/>
              </w:rPr>
              <w:t>17:00</w:t>
            </w:r>
          </w:p>
        </w:tc>
        <w:tc>
          <w:tcPr>
            <w:tcW w:w="1197" w:type="dxa"/>
            <w:tcBorders/>
          </w:tcPr>
          <w:p>
            <w:pPr>
              <w:pStyle w:val="Normal"/>
              <w:rPr>
                <w:rFonts w:ascii="Arial" w:hAnsi="Arial" w:cs="Arial"/>
                <w:color w:val="000000"/>
              </w:rPr>
            </w:pPr>
            <w:r>
              <w:rPr>
                <w:rFonts w:cs="Arial" w:ascii="Arial" w:hAnsi="Arial"/>
                <w:color w:val="000000"/>
              </w:rPr>
              <w:t>Mon-Fri</w:t>
            </w:r>
          </w:p>
        </w:tc>
        <w:tc>
          <w:tcPr>
            <w:tcW w:w="4232" w:type="dxa"/>
            <w:tcBorders/>
          </w:tcPr>
          <w:p>
            <w:pPr>
              <w:pStyle w:val="Normal"/>
              <w:rPr>
                <w:rFonts w:ascii="Arial" w:hAnsi="Arial" w:cs="Arial"/>
                <w:color w:val="000000"/>
              </w:rPr>
            </w:pPr>
            <w:r>
              <w:rPr>
                <w:rFonts w:cs="Arial" w:ascii="Arial" w:hAnsi="Arial"/>
                <w:color w:val="000000"/>
              </w:rPr>
              <w:t>Greenwich Mean Time (GMT)</w:t>
            </w:r>
          </w:p>
        </w:tc>
      </w:tr>
    </w:tbl>
    <w:p>
      <w:pPr>
        <w:pStyle w:val="Normal"/>
        <w:rPr>
          <w:rFonts w:ascii="Arial" w:hAnsi="Arial" w:cs="Arial"/>
          <w:color w:val="000000"/>
        </w:rPr>
      </w:pPr>
      <w:r>
        <w:rPr>
          <w:rFonts w:cs="Arial" w:ascii="Arial" w:hAnsi="Arial"/>
          <w:color w:val="000000"/>
        </w:rPr>
      </w:r>
    </w:p>
    <w:p>
      <w:pPr>
        <w:pStyle w:val="Normal"/>
        <w:keepNext w:val="true"/>
        <w:spacing w:lineRule="atLeast" w:line="240" w:before="120" w:after="120"/>
        <w:ind w:start="40" w:end="40"/>
        <w:rPr>
          <w:rFonts w:ascii="Arial" w:hAnsi="Arial" w:cs="Arial"/>
          <w:b/>
          <w:color w:val="000000"/>
          <w:sz w:val="28"/>
          <w:lang w:val="en-AU" w:eastAsia="en-US"/>
        </w:rPr>
      </w:pPr>
      <w:r>
        <w:rPr>
          <w:rFonts w:cs="Arial" w:ascii="Arial" w:hAnsi="Arial"/>
          <w:b/>
          <w:color w:val="000000"/>
          <w:sz w:val="28"/>
          <w:lang w:val="en-AU" w:eastAsia="en-US"/>
        </w:rPr>
        <w:t>Background</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 xml:space="preserve">The petrochemical and plastics industry is one of the largest industries in the world with approximately $800 billion in physical commodity sales. This enormous size alone dictates that most of the industry's underlying commodities are broadly traded amongst thousands of counter-parties. At the present time the competitive landscape is in turmoil, driven on one hand by globalization and on the other by technology, which is driving the industry at an ever-increasing pace. Price volatility is significant and troublesome with petrochemicals and polymers being much more volatile than other more broadly based commodities. </w:t>
      </w:r>
    </w:p>
    <w:p>
      <w:pPr>
        <w:pStyle w:val="Normal"/>
        <w:keepNext w:val="true"/>
        <w:spacing w:lineRule="atLeast" w:line="240" w:before="120" w:after="120"/>
        <w:ind w:start="40" w:end="40"/>
        <w:rPr>
          <w:rFonts w:ascii="Arial" w:hAnsi="Arial" w:cs="Arial"/>
          <w:b/>
          <w:color w:val="000000"/>
          <w:sz w:val="28"/>
          <w:lang w:val="en-AU" w:eastAsia="en-US"/>
        </w:rPr>
      </w:pPr>
      <w:r>
        <w:rPr>
          <w:rFonts w:cs="Arial" w:ascii="Arial" w:hAnsi="Arial"/>
          <w:b/>
          <w:color w:val="000000"/>
          <w:sz w:val="28"/>
          <w:lang w:val="en-AU" w:eastAsia="en-US"/>
        </w:rPr>
        <w:t>Current Market</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Enron is involved in both physical and financial transactions in the petrochemicals and plastics markets. From price risk management to physical logistics, Enron builds products and integrated solutions that help a diverse customer base maximize existing business and develop opportunities previously unexploitable. By making markets in physical products, and helping companies hedge against the price volatility, Enron is well placed to create long term value for their clients’ shareholders.</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Physical marketing currently includes: MTBE, methanol, benzene, toluene, paraxylene &amp; styrene</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Financial marketing includes: benzene, styrene, polystyrene, ethylene, high density polyethylene, low density polyethylene, linear low density polyethylene, propylene, polypropylene, polyvinylchloride (PVC), Paraxylene &amp; PET.</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Counterparties include major petrochemical companies, plastic processors and consumers, and financial institutions and traders servicing these industries. The plastics and petrochemical derivatives market is currently over-the-counter with bilaterally negotiated financial contracts being settled against third party indices such as ICIS and Platts.</w:t>
      </w:r>
    </w:p>
    <w:p>
      <w:pPr>
        <w:pStyle w:val="Normal"/>
        <w:keepNext w:val="true"/>
        <w:spacing w:lineRule="atLeast" w:line="240" w:before="120" w:after="120"/>
        <w:ind w:start="40" w:end="40"/>
        <w:rPr>
          <w:rFonts w:ascii="Arial" w:hAnsi="Arial" w:cs="Arial"/>
          <w:b/>
          <w:color w:val="000000"/>
          <w:sz w:val="28"/>
          <w:lang w:val="en-AU" w:eastAsia="en-US"/>
        </w:rPr>
      </w:pPr>
      <w:r>
        <w:rPr>
          <w:rFonts w:cs="Arial" w:ascii="Arial" w:hAnsi="Arial"/>
          <w:b/>
          <w:color w:val="000000"/>
          <w:sz w:val="28"/>
          <w:lang w:val="en-AU" w:eastAsia="en-US"/>
        </w:rPr>
        <w:t>Market Conventions</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t>All financial transactions are OTC (bilaterally negotiated) and can therefore be tailored to suit the individual needs of counterparties. Products traded in this market a mostly fixed price swaps and fixed priced spreads, but caps and floors are also available. Transactions are typically settled on a monthly basis and depending on the index used, the posting may be a single number or a range. In the case of a range, settlement will be on the low, high or average. The length of term for financial transactions varies from three months to ten years. Typical transaction values vary from a few hundred thousand dollars to multimillion dollars per month. In general, financial petrochemical and plastics transactions typically are governed by the terms and conditions set forth in a International Swaps and Derivatives Dealers Association, Inc. (ISDA) Master Agreement negotiated between the counterparties (or similar documentation like Enron's GTCs for financially-settled transactions).</w:t>
      </w:r>
    </w:p>
    <w:p>
      <w:pPr>
        <w:pStyle w:val="Normal"/>
        <w:spacing w:lineRule="atLeast" w:line="240"/>
        <w:ind w:start="40" w:end="40"/>
        <w:rPr>
          <w:rFonts w:ascii="Arial" w:hAnsi="Arial" w:cs="Arial"/>
          <w:color w:val="000000"/>
          <w:lang w:val="en-AU" w:eastAsia="en-US"/>
        </w:rPr>
      </w:pPr>
      <w:r>
        <w:rPr>
          <w:rFonts w:cs="Arial" w:ascii="Arial" w:hAnsi="Arial"/>
          <w:color w:val="000000"/>
          <w:lang w:val="en-AU" w:eastAsia="en-US"/>
        </w:rPr>
      </w:r>
    </w:p>
    <w:p>
      <w:pPr>
        <w:pStyle w:val="Normal"/>
        <w:rPr>
          <w:rFonts w:ascii="Arial" w:hAnsi="Arial" w:cs="Arial"/>
          <w:color w:val="000000"/>
          <w:lang w:val="en-AU" w:eastAsia="en-US"/>
        </w:rPr>
      </w:pPr>
      <w:r>
        <w:rPr>
          <w:rFonts w:cs="Arial" w:ascii="Arial" w:hAnsi="Arial"/>
          <w:color w:val="000000"/>
          <w:lang w:val="en-AU" w:eastAsia="en-US"/>
        </w:rPr>
        <w:t>Enron Europe Finance and Trading Limited is regulated by the Securities and Futures Authority.</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2000-06-08T09:33:00Z</dcterms:created>
  <dc:creator>SSimunov</dc:creator>
  <dc:description/>
  <dc:language>en-CA</dc:language>
  <cp:lastModifiedBy>SSimunov</cp:lastModifiedBy>
  <dcterms:modified xsi:type="dcterms:W3CDTF">2000-06-08T10:33:00Z</dcterms:modified>
  <cp:revision>1</cp:revision>
  <dc:subject/>
  <dc:title>European Petrochemicals Market</dc:title>
</cp:coreProperties>
</file>