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spacing w:before="100" w:after="100"/>
        <w:rPr>
          <w:rFonts w:ascii="Arial" w:hAnsi="Arial" w:cs="Arial"/>
          <w:color w:val="000000"/>
          <w:sz w:val="18"/>
        </w:rPr>
      </w:pPr>
      <w:r>
        <w:rPr>
          <w:rFonts w:cs="Arial" w:ascii="Arial" w:hAnsi="Arial"/>
        </w:rPr>
        <w:t>European LPG Market</w:t>
      </w:r>
    </w:p>
    <w:p>
      <w:pPr>
        <w:pStyle w:val="H3"/>
        <w:rPr/>
      </w:pPr>
      <w:r>
        <w:rPr/>
        <w:t>Market Hours</w:t>
      </w:r>
    </w:p>
    <w:tbl>
      <w:tblPr>
        <w:tblW w:w="9358" w:type="dxa"/>
        <w:jc w:val="start"/>
        <w:tblInd w:w="30" w:type="dxa"/>
        <w:tblLayout w:type="fixed"/>
        <w:tblCellMar>
          <w:top w:w="0" w:type="dxa"/>
          <w:start w:w="30" w:type="dxa"/>
          <w:bottom w:w="0" w:type="dxa"/>
          <w:end w:w="30" w:type="dxa"/>
        </w:tblCellMar>
      </w:tblPr>
      <w:tblGrid>
        <w:gridCol w:w="2209"/>
        <w:gridCol w:w="860"/>
        <w:gridCol w:w="860"/>
        <w:gridCol w:w="1197"/>
        <w:gridCol w:w="4232"/>
      </w:tblGrid>
      <w:tr>
        <w:trPr/>
        <w:tc>
          <w:tcPr>
            <w:tcW w:w="2209" w:type="dxa"/>
            <w:tcBorders/>
          </w:tcPr>
          <w:p>
            <w:pPr>
              <w:pStyle w:val="Normal"/>
              <w:rPr>
                <w:rFonts w:ascii="Arial" w:hAnsi="Arial" w:cs="Arial"/>
                <w:color w:val="000000"/>
              </w:rPr>
            </w:pPr>
            <w:r>
              <w:rPr>
                <w:rFonts w:cs="Arial" w:ascii="Arial" w:hAnsi="Arial"/>
                <w:b/>
                <w:color w:val="000000"/>
              </w:rPr>
              <w:t>Product Group</w:t>
            </w:r>
          </w:p>
        </w:tc>
        <w:tc>
          <w:tcPr>
            <w:tcW w:w="860" w:type="dxa"/>
            <w:tcBorders/>
          </w:tcPr>
          <w:p>
            <w:pPr>
              <w:pStyle w:val="Normal"/>
              <w:rPr>
                <w:rFonts w:ascii="Arial" w:hAnsi="Arial" w:cs="Arial"/>
                <w:color w:val="000000"/>
              </w:rPr>
            </w:pPr>
            <w:r>
              <w:rPr>
                <w:rFonts w:cs="Arial" w:ascii="Arial" w:hAnsi="Arial"/>
                <w:b/>
                <w:color w:val="000000"/>
              </w:rPr>
              <w:t>From</w:t>
            </w:r>
          </w:p>
        </w:tc>
        <w:tc>
          <w:tcPr>
            <w:tcW w:w="860" w:type="dxa"/>
            <w:tcBorders/>
          </w:tcPr>
          <w:p>
            <w:pPr>
              <w:pStyle w:val="Normal"/>
              <w:rPr>
                <w:rFonts w:ascii="Arial" w:hAnsi="Arial" w:cs="Arial"/>
                <w:color w:val="000000"/>
              </w:rPr>
            </w:pPr>
            <w:r>
              <w:rPr>
                <w:rFonts w:cs="Arial" w:ascii="Arial" w:hAnsi="Arial"/>
                <w:b/>
                <w:color w:val="000000"/>
              </w:rPr>
              <w:t>To</w:t>
            </w:r>
          </w:p>
        </w:tc>
        <w:tc>
          <w:tcPr>
            <w:tcW w:w="1197" w:type="dxa"/>
            <w:tcBorders/>
          </w:tcPr>
          <w:p>
            <w:pPr>
              <w:pStyle w:val="Normal"/>
              <w:rPr>
                <w:rFonts w:ascii="Arial" w:hAnsi="Arial" w:cs="Arial"/>
                <w:color w:val="000000"/>
              </w:rPr>
            </w:pPr>
            <w:r>
              <w:rPr>
                <w:rFonts w:cs="Arial" w:ascii="Arial" w:hAnsi="Arial"/>
                <w:b/>
                <w:color w:val="000000"/>
              </w:rPr>
              <w:t>Days</w:t>
            </w:r>
          </w:p>
        </w:tc>
        <w:tc>
          <w:tcPr>
            <w:tcW w:w="4232" w:type="dxa"/>
            <w:tcBorders/>
          </w:tcPr>
          <w:p>
            <w:pPr>
              <w:pStyle w:val="Normal"/>
              <w:rPr>
                <w:rFonts w:ascii="Arial" w:hAnsi="Arial" w:cs="Arial"/>
                <w:color w:val="000000"/>
              </w:rPr>
            </w:pPr>
            <w:r>
              <w:rPr>
                <w:rFonts w:cs="Arial" w:ascii="Arial" w:hAnsi="Arial"/>
                <w:b/>
                <w:color w:val="000000"/>
              </w:rPr>
              <w:t>Time Zone</w:t>
            </w:r>
          </w:p>
        </w:tc>
      </w:tr>
      <w:tr>
        <w:trPr/>
        <w:tc>
          <w:tcPr>
            <w:tcW w:w="2209" w:type="dxa"/>
            <w:tcBorders/>
          </w:tcPr>
          <w:p>
            <w:pPr>
              <w:pStyle w:val="Normal"/>
              <w:rPr>
                <w:rFonts w:ascii="Arial" w:hAnsi="Arial" w:cs="Arial"/>
                <w:color w:val="000000"/>
              </w:rPr>
            </w:pPr>
            <w:r>
              <w:rPr>
                <w:rFonts w:cs="Arial" w:ascii="Arial" w:hAnsi="Arial"/>
                <w:color w:val="000000"/>
              </w:rPr>
              <w:t>All Products</w:t>
            </w:r>
          </w:p>
        </w:tc>
        <w:tc>
          <w:tcPr>
            <w:tcW w:w="860" w:type="dxa"/>
            <w:tcBorders/>
          </w:tcPr>
          <w:p>
            <w:pPr>
              <w:pStyle w:val="Normal"/>
              <w:rPr>
                <w:rFonts w:ascii="Arial" w:hAnsi="Arial" w:cs="Arial"/>
                <w:color w:val="000000"/>
              </w:rPr>
            </w:pPr>
            <w:r>
              <w:rPr>
                <w:rFonts w:cs="Arial" w:ascii="Arial" w:hAnsi="Arial"/>
                <w:color w:val="000000"/>
              </w:rPr>
              <w:t>09:00</w:t>
            </w:r>
          </w:p>
        </w:tc>
        <w:tc>
          <w:tcPr>
            <w:tcW w:w="860" w:type="dxa"/>
            <w:tcBorders/>
          </w:tcPr>
          <w:p>
            <w:pPr>
              <w:pStyle w:val="Normal"/>
              <w:rPr>
                <w:rFonts w:ascii="Arial" w:hAnsi="Arial" w:cs="Arial"/>
                <w:color w:val="000000"/>
              </w:rPr>
            </w:pPr>
            <w:r>
              <w:rPr>
                <w:rFonts w:cs="Arial" w:ascii="Arial" w:hAnsi="Arial"/>
                <w:color w:val="000000"/>
              </w:rPr>
              <w:t>17:00</w:t>
            </w:r>
          </w:p>
        </w:tc>
        <w:tc>
          <w:tcPr>
            <w:tcW w:w="1197" w:type="dxa"/>
            <w:tcBorders/>
          </w:tcPr>
          <w:p>
            <w:pPr>
              <w:pStyle w:val="Normal"/>
              <w:rPr>
                <w:rFonts w:ascii="Arial" w:hAnsi="Arial" w:cs="Arial"/>
                <w:color w:val="000000"/>
              </w:rPr>
            </w:pPr>
            <w:r>
              <w:rPr>
                <w:rFonts w:cs="Arial" w:ascii="Arial" w:hAnsi="Arial"/>
                <w:color w:val="000000"/>
              </w:rPr>
              <w:t>Mon-Fri</w:t>
            </w:r>
          </w:p>
        </w:tc>
        <w:tc>
          <w:tcPr>
            <w:tcW w:w="4232" w:type="dxa"/>
            <w:tcBorders/>
          </w:tcPr>
          <w:p>
            <w:pPr>
              <w:pStyle w:val="Normal"/>
              <w:rPr>
                <w:rFonts w:ascii="Arial" w:hAnsi="Arial" w:cs="Arial"/>
                <w:color w:val="000000"/>
              </w:rPr>
            </w:pPr>
            <w:r>
              <w:rPr>
                <w:rFonts w:cs="Arial" w:ascii="Arial" w:hAnsi="Arial"/>
                <w:color w:val="000000"/>
              </w:rPr>
              <w:t xml:space="preserve">Prevailing London Time </w:t>
            </w:r>
          </w:p>
        </w:tc>
      </w:tr>
    </w:tbl>
    <w:p>
      <w:pPr>
        <w:pStyle w:val="H3"/>
        <w:rPr>
          <w:rFonts w:ascii="Arial" w:hAnsi="Arial" w:cs="Arial"/>
          <w:color w:val="000000"/>
        </w:rPr>
      </w:pPr>
      <w:r>
        <w:rPr>
          <w:rFonts w:cs="Arial" w:ascii="Arial" w:hAnsi="Arial"/>
          <w:color w:val="000000"/>
        </w:rPr>
        <w:t>Background</w:t>
      </w:r>
    </w:p>
    <w:p>
      <w:pPr>
        <w:pStyle w:val="Normal"/>
        <w:rPr>
          <w:rFonts w:ascii="Arial" w:hAnsi="Arial" w:cs="Arial"/>
          <w:color w:val="000000"/>
        </w:rPr>
      </w:pPr>
      <w:r>
        <w:rPr>
          <w:rFonts w:cs="Arial" w:ascii="Arial" w:hAnsi="Arial"/>
          <w:color w:val="000000"/>
        </w:rPr>
        <w:t>Natural Gas Liquids (NGLs) are comprised of ethane, propane, normal butane, isobutane, and natural gasoline. As the name implies, NGLs are found in raw natural gas streams, but are also a by-product of the oil refining process. The main production areas in North America are the US Gulf Coast, Canada, and the US Midwest. Most NGLs are used as chemical feedstock or for residential heating. The majority of chemical demand is located close to production areas. Propane for residential and light industrial use is transported to the area of demand. The main US NGL pipelines are Texas Eastman, Dixie, Cochin, Kinder Morgan, Buckeye and Kanab.</w:t>
      </w:r>
    </w:p>
    <w:p>
      <w:pPr>
        <w:pStyle w:val="Normal"/>
        <w:rPr>
          <w:rFonts w:ascii="Arial" w:hAnsi="Arial" w:cs="Arial"/>
          <w:color w:val="000000"/>
        </w:rPr>
      </w:pPr>
      <w:r>
        <w:rPr>
          <w:rFonts w:cs="Arial" w:ascii="Arial" w:hAnsi="Arial"/>
          <w:color w:val="000000"/>
        </w:rPr>
        <w:t xml:space="preserve">Outside the US, LPG trading consist mainly of propane and butane. These commodities are used mainly as chemical feedstock and for residential heating and cooking, although demand is also seen in the industrial markets. </w:t>
      </w:r>
    </w:p>
    <w:p>
      <w:pPr>
        <w:pStyle w:val="Normal"/>
        <w:rPr>
          <w:rFonts w:ascii="Arial" w:hAnsi="Arial" w:cs="Arial"/>
          <w:color w:val="000000"/>
        </w:rPr>
      </w:pPr>
      <w:r>
        <w:rPr>
          <w:rFonts w:cs="Arial" w:ascii="Arial" w:hAnsi="Arial"/>
          <w:color w:val="000000"/>
        </w:rPr>
        <w:t>While the NGL/LPG physical trading has been present for decades, evolution of financially-settled trading markets has increased dramatically only over the past 3-5 years. Financial transactions occur via the New York Mercantile Exchange (NYMEX) propane contract, electronic trading systems like Chalkboard and NetTrade, and Over-the-Counter (OTC) swaps priced against industry accepted pricing services such as the Oil Price Information Service (OPIS) in the US and International LPG (Argus) in Europe. The two factors that have increased interest in the forward contract market are market volatility and market liquidity provided by speculators. With an active forward market, industry players can witness the liquidity and have warmed to participating in the forward market, putting on and exiting financial hedges. This has led to a fully developed financial NGL market.</w:t>
      </w:r>
    </w:p>
    <w:p>
      <w:pPr>
        <w:pStyle w:val="H3"/>
        <w:rPr>
          <w:rFonts w:ascii="Arial" w:hAnsi="Arial" w:cs="Arial"/>
          <w:color w:val="000000"/>
        </w:rPr>
      </w:pPr>
      <w:r>
        <w:rPr>
          <w:rFonts w:cs="Arial" w:ascii="Arial" w:hAnsi="Arial"/>
          <w:color w:val="000000"/>
        </w:rPr>
        <w:t>Current Market</w:t>
      </w:r>
    </w:p>
    <w:p>
      <w:pPr>
        <w:pStyle w:val="Normal"/>
        <w:rPr>
          <w:rFonts w:ascii="Arial" w:hAnsi="Arial" w:cs="Arial"/>
          <w:color w:val="000000"/>
        </w:rPr>
      </w:pPr>
      <w:r>
        <w:rPr>
          <w:rFonts w:cs="Arial" w:ascii="Arial" w:hAnsi="Arial"/>
          <w:color w:val="000000"/>
        </w:rPr>
        <w:t>Although there are five types of NGLs in the US, the product with the most liquidity is propane, followed by ethane (ethane/propane mix and purity), butane with similar levels of liquidity, natural gasoline and isobutane. The US propane OTC market generally trades from 7:00-4:00 Central Time Monday through to Friday. Many chemical producers, propane retailers, and NGL/LPG producers and traders are active both in the spot and forward markets as well as several brokers who serve the markets. Even though the NYMEX propane contract is available, more than 90% of all financially-settled trades are transacted in the OTC market. These are split evenly between brokered trades, trades done on electronic trading systems and buyer-seller direct trades. Generally, there is a correlation between market volatility and market volume and since prices in the winter have largest swings, these are typically the most actively traded days. Daily trading volume during the busiest of days can reach up to millions of barrels.</w:t>
      </w:r>
    </w:p>
    <w:p>
      <w:pPr>
        <w:pStyle w:val="Normal"/>
        <w:rPr>
          <w:rFonts w:ascii="Arial" w:hAnsi="Arial" w:cs="Arial"/>
          <w:color w:val="000000"/>
        </w:rPr>
      </w:pPr>
      <w:r>
        <w:rPr>
          <w:rFonts w:cs="Arial" w:ascii="Arial" w:hAnsi="Arial"/>
          <w:color w:val="000000"/>
        </w:rPr>
        <w:t xml:space="preserve">Within the European LPG market, virtually all financial trades are for propane. All trades are done OTC with most being arranged by brokers. European financial LPG market is less liquid than the US market. </w:t>
      </w:r>
    </w:p>
    <w:p>
      <w:pPr>
        <w:pStyle w:val="H3"/>
        <w:rPr>
          <w:rFonts w:ascii="Arial" w:hAnsi="Arial" w:cs="Arial"/>
          <w:color w:val="000000"/>
        </w:rPr>
      </w:pPr>
      <w:r>
        <w:rPr>
          <w:rFonts w:cs="Arial" w:ascii="Arial" w:hAnsi="Arial"/>
          <w:color w:val="000000"/>
        </w:rPr>
        <w:t>Significant Future Developments</w:t>
      </w:r>
    </w:p>
    <w:p>
      <w:pPr>
        <w:pStyle w:val="Normal"/>
        <w:rPr>
          <w:rFonts w:ascii="Arial" w:hAnsi="Arial" w:cs="Arial"/>
          <w:color w:val="000000"/>
        </w:rPr>
      </w:pPr>
      <w:r>
        <w:rPr>
          <w:rFonts w:cs="Arial" w:ascii="Arial" w:hAnsi="Arial"/>
          <w:color w:val="000000"/>
        </w:rPr>
        <w:t>Fundamental factors affecting the NGL/LPG market vary from region to region. In the US, the factors include incremental chemical plant demand, new gas plant production capacity, pipeline logistics, and incremental supply and demand from NAFTA countries. Factors outside the US include chemical plant demand, natural gas substitution (particularly in the residential market), emerging market (e.g. China &amp; India) demand, and international export availability. Most notably there are a number of new steam cracker plants planned to come online in the next couple of years in North America.</w:t>
      </w:r>
    </w:p>
    <w:p>
      <w:pPr>
        <w:pStyle w:val="H3"/>
        <w:rPr>
          <w:rFonts w:ascii="Arial" w:hAnsi="Arial" w:cs="Arial"/>
          <w:color w:val="000000"/>
        </w:rPr>
      </w:pPr>
      <w:r>
        <w:rPr>
          <w:rFonts w:cs="Arial" w:ascii="Arial" w:hAnsi="Arial"/>
          <w:color w:val="000000"/>
        </w:rPr>
        <w:t>Current Regulatory Environment</w:t>
      </w:r>
    </w:p>
    <w:p>
      <w:pPr>
        <w:pStyle w:val="BodyText"/>
        <w:rPr/>
      </w:pPr>
      <w:r>
        <w:rPr/>
        <w:t>The NGL is both OTC and exchange traded. NYMEX trading is regulated by the Commodity Futures Trading Commission (CFTC). Generally, in the US, OTC trading between eligible participants is unregulated. The IPE is regulated by the U.K. Financial Services Authority (FSA).</w:t>
      </w:r>
    </w:p>
    <w:p>
      <w:pPr>
        <w:pStyle w:val="Normal"/>
        <w:rPr>
          <w:rFonts w:ascii="Arial" w:hAnsi="Arial" w:cs="Arial"/>
          <w:color w:val="000000"/>
        </w:rPr>
      </w:pPr>
      <w:r>
        <w:rPr>
          <w:rFonts w:cs="Arial" w:ascii="Arial" w:hAnsi="Arial"/>
          <w:color w:val="000000"/>
        </w:rPr>
        <w:t>Legislation continues to affect the oil market, specifically concerning NGL products. The refining industry is continuously changing to comply with new environmental standards, thereby changing many of the derivatives that serve the NGL markets.</w:t>
      </w:r>
    </w:p>
    <w:p>
      <w:pPr>
        <w:pStyle w:val="Normal"/>
        <w:rPr>
          <w:rFonts w:ascii="Arial" w:hAnsi="Arial" w:cs="Arial"/>
          <w:color w:val="000000"/>
        </w:rPr>
      </w:pPr>
      <w:r>
        <w:rPr>
          <w:rFonts w:cs="Arial" w:ascii="Arial" w:hAnsi="Arial"/>
          <w:color w:val="000000"/>
        </w:rPr>
        <w:t>Trades within Europe are not regulated as all transactions are conducted OTC. The transport and storage of NGLs are often regulated from an environmental and safety standpoint.</w:t>
      </w:r>
    </w:p>
    <w:p>
      <w:pPr>
        <w:pStyle w:val="Normal"/>
        <w:rPr>
          <w:rFonts w:ascii="Arial" w:hAnsi="Arial" w:cs="Arial"/>
          <w:color w:val="000000"/>
        </w:rPr>
      </w:pPr>
      <w:r>
        <w:rPr>
          <w:rFonts w:cs="Arial" w:ascii="Arial" w:hAnsi="Arial"/>
          <w:color w:val="000000"/>
        </w:rPr>
        <w:t xml:space="preserve">Wholesale LPG prices in Europe have not been regulated in the past, although retail prices have, and in certain areas continue to be regulated. NGLs can and are effected by the effects of government regulations and policies. As NGLs are considered a “green fuel”, their use is often encouraged by tax incentives and government subsidies for both transport and pricing. </w:t>
      </w:r>
    </w:p>
    <w:p>
      <w:pPr>
        <w:pStyle w:val="H3"/>
        <w:rPr>
          <w:rFonts w:ascii="Arial" w:hAnsi="Arial" w:cs="Arial"/>
          <w:color w:val="000000"/>
        </w:rPr>
      </w:pPr>
      <w:r>
        <w:rPr>
          <w:rFonts w:cs="Arial" w:ascii="Arial" w:hAnsi="Arial"/>
          <w:color w:val="000000"/>
        </w:rPr>
        <w:t>Market Conventions</w:t>
      </w:r>
    </w:p>
    <w:p>
      <w:pPr>
        <w:pStyle w:val="Normal"/>
        <w:rPr>
          <w:rFonts w:ascii="Arial" w:hAnsi="Arial" w:cs="Arial"/>
          <w:color w:val="000000"/>
        </w:rPr>
      </w:pPr>
      <w:r>
        <w:rPr>
          <w:rFonts w:cs="Arial" w:ascii="Arial" w:hAnsi="Arial"/>
          <w:color w:val="000000"/>
        </w:rPr>
        <w:t>The two basic types of market transactions are physical and financial. Physical trades are specific to a delivery date, location, and volume. The most liquid financial trades are settled on the monthly average of the daily high and low prices as quoted by Oil Price Information Service (OPIS) in the US and Argus in Europe. Prices are quoted in cents per gallon in the US and US Dollars per metric tone in Europe. Volumes are traditionally quoted in the US in increments of thousands of barrels (42 gallons per barrel). Financial trades are normally settled five days after the price is determined. Option premiums are typically settled two business days after the trade is concluded.</w:t>
      </w:r>
    </w:p>
    <w:p>
      <w:pPr>
        <w:pStyle w:val="Normal"/>
        <w:rPr>
          <w:rFonts w:ascii="Arial" w:hAnsi="Arial" w:cs="Arial"/>
          <w:color w:val="000000"/>
        </w:rPr>
      </w:pPr>
      <w:r>
        <w:rPr>
          <w:rFonts w:cs="Arial" w:ascii="Arial" w:hAnsi="Arial"/>
          <w:color w:val="000000"/>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2000-06-08T06:19:00Z</dcterms:created>
  <dc:creator>SSimunov</dc:creator>
  <dc:description/>
  <dc:language>en-CA</dc:language>
  <cp:lastModifiedBy>SSimunov</cp:lastModifiedBy>
  <dcterms:modified xsi:type="dcterms:W3CDTF">2000-06-08T06:44:00Z</dcterms:modified>
  <cp:revision>1</cp:revision>
  <dc:subject/>
  <dc:title>European LPG Market</dc:title>
</cp:coreProperties>
</file>