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Europe, Government and Regulatory Affairs</w:t>
      </w:r>
    </w:p>
    <w:p>
      <w:pPr>
        <w:pStyle w:val="Normal"/>
        <w:jc w:val="end"/>
        <w:rPr>
          <w:b/>
          <w:bCs/>
          <w:sz w:val="28"/>
        </w:rPr>
      </w:pPr>
      <w:r>
        <w:rPr>
          <w:b/>
          <w:bCs/>
          <w:sz w:val="28"/>
        </w:rPr>
        <w:t>Peter Styles, Vice President</w:t>
      </w:r>
    </w:p>
    <w:p>
      <w:pPr>
        <w:pStyle w:val="Normal"/>
        <w:jc w:val="end"/>
        <w:rPr>
          <w:b/>
          <w:bCs/>
          <w:sz w:val="28"/>
        </w:rPr>
      </w:pPr>
      <w:r>
        <w:rPr>
          <w:b/>
          <w:bCs/>
          <w:sz w:val="28"/>
        </w:rPr>
      </w:r>
    </w:p>
    <w:p>
      <w:pPr>
        <w:pStyle w:val="Normal"/>
        <w:jc w:val="end"/>
        <w:rPr/>
      </w:pPr>
      <w:r>
        <w:rPr/>
      </w:r>
    </w:p>
    <w:p>
      <w:pPr>
        <w:pStyle w:val="Heading1"/>
        <w:ind w:hanging="0" w:start="0"/>
        <w:jc w:val="start"/>
        <w:rPr/>
      </w:pPr>
      <w:r>
        <w:rPr/>
        <w:t>24 June 2001</w:t>
      </w:r>
    </w:p>
    <w:p>
      <w:pPr>
        <w:pStyle w:val="Normal"/>
        <w:jc w:val="both"/>
        <w:rPr/>
      </w:pPr>
      <w:r>
        <w:rPr/>
        <w:t> </w:t>
      </w:r>
      <w:r>
        <w:rPr/>
        <w:t>_______________________________________________________________________</w:t>
      </w:r>
    </w:p>
    <w:p>
      <w:pPr>
        <w:pStyle w:val="BodyText2"/>
        <w:rPr>
          <w:b/>
          <w:bCs/>
          <w:sz w:val="32"/>
        </w:rPr>
      </w:pPr>
      <w:r>
        <w:rPr>
          <w:b/>
          <w:bCs/>
          <w:sz w:val="32"/>
        </w:rPr>
        <w:t>Continental Western Europe, Electricity &amp; Gas Markets: Successes and Blockages</w:t>
      </w:r>
    </w:p>
    <w:p>
      <w:pPr>
        <w:pStyle w:val="Normal"/>
        <w:jc w:val="both"/>
        <w:rPr>
          <w:b/>
          <w:bCs/>
        </w:rPr>
      </w:pPr>
      <w:r>
        <w:rPr>
          <w:b/>
          <w:bCs/>
        </w:rPr>
        <w:t> </w:t>
      </w:r>
      <w:r>
        <w:rPr>
          <w:b/>
          <w:bCs/>
        </w:rPr>
        <w:t>_______________________________________________________________________</w:t>
      </w:r>
    </w:p>
    <w:p>
      <w:pPr>
        <w:pStyle w:val="Normal"/>
        <w:jc w:val="both"/>
        <w:rPr/>
      </w:pPr>
      <w:r>
        <w:rPr/>
        <w:t> </w:t>
      </w:r>
    </w:p>
    <w:p>
      <w:pPr>
        <w:pStyle w:val="Normal"/>
        <w:jc w:val="both"/>
        <w:rPr/>
      </w:pPr>
      <w:r>
        <w:rPr/>
      </w:r>
    </w:p>
    <w:p>
      <w:pPr>
        <w:pStyle w:val="Normal"/>
        <w:jc w:val="both"/>
        <w:rPr>
          <w:sz w:val="28"/>
        </w:rPr>
      </w:pPr>
      <w:r>
        <w:rPr>
          <w:b/>
          <w:bCs/>
          <w:sz w:val="28"/>
        </w:rPr>
        <w:t>1.</w:t>
      </w:r>
      <w:r>
        <w:rPr>
          <w:sz w:val="28"/>
        </w:rPr>
        <w:t xml:space="preserve">  </w:t>
      </w:r>
      <w:r>
        <w:rPr>
          <w:b/>
          <w:bCs/>
          <w:sz w:val="28"/>
        </w:rPr>
        <w:t>EU (Brussels) Level</w:t>
      </w:r>
    </w:p>
    <w:p>
      <w:pPr>
        <w:pStyle w:val="Normal"/>
        <w:jc w:val="both"/>
        <w:rPr/>
      </w:pPr>
      <w:r>
        <w:rPr/>
        <w:t> </w:t>
      </w:r>
    </w:p>
    <w:p>
      <w:pPr>
        <w:pStyle w:val="Normal"/>
        <w:numPr>
          <w:ilvl w:val="0"/>
          <w:numId w:val="4"/>
        </w:numPr>
        <w:jc w:val="both"/>
        <w:rPr>
          <w:b/>
          <w:bCs/>
          <w:u w:val="single"/>
        </w:rPr>
      </w:pPr>
      <w:r>
        <w:rPr>
          <w:b/>
          <w:bCs/>
          <w:u w:val="single"/>
        </w:rPr>
        <w:t>Overview (and see attached slides)</w:t>
      </w:r>
    </w:p>
    <w:p>
      <w:pPr>
        <w:pStyle w:val="Normal"/>
        <w:ind w:start="360" w:end="0"/>
        <w:jc w:val="both"/>
        <w:rPr>
          <w:b/>
          <w:bCs/>
          <w:u w:val="single"/>
        </w:rPr>
      </w:pPr>
      <w:r>
        <w:rPr>
          <w:b/>
          <w:bCs/>
          <w:u w:val="single"/>
        </w:rPr>
      </w:r>
    </w:p>
    <w:p>
      <w:pPr>
        <w:pStyle w:val="Normal"/>
        <w:ind w:start="360" w:end="0"/>
        <w:jc w:val="both"/>
        <w:rPr/>
      </w:pPr>
      <w:r>
        <w:rPr/>
        <w:t xml:space="preserve">End-user market opening is in legal/legislative </w:t>
      </w:r>
      <w:r>
        <w:rPr>
          <w:u w:val="single"/>
        </w:rPr>
        <w:t>theory</w:t>
      </w:r>
      <w:r>
        <w:rPr/>
        <w:t xml:space="preserve"> far ahead of the timetable envisaged in the `97 and `98 Directives.  Wholesale markets for power are well established in the central continental area; the wholesale picture for gas is mostly bleaker.  Given the </w:t>
      </w:r>
      <w:r>
        <w:rPr>
          <w:u w:val="single"/>
        </w:rPr>
        <w:t>practica</w:t>
      </w:r>
      <w:r>
        <w:rPr/>
        <w:t>l impediments to third party access which persist, the EC adopted a proposal for a new “acceleration” Directive on 13 March 2001.</w:t>
      </w:r>
    </w:p>
    <w:p>
      <w:pPr>
        <w:pStyle w:val="Normal"/>
        <w:jc w:val="both"/>
        <w:rPr/>
      </w:pPr>
      <w:r>
        <w:rPr/>
        <w:t> </w:t>
      </w:r>
    </w:p>
    <w:p>
      <w:pPr>
        <w:pStyle w:val="Normal"/>
        <w:numPr>
          <w:ilvl w:val="0"/>
          <w:numId w:val="4"/>
        </w:numPr>
        <w:jc w:val="both"/>
        <w:rPr>
          <w:b/>
          <w:bCs/>
          <w:u w:val="single"/>
        </w:rPr>
      </w:pPr>
      <w:r>
        <w:rPr>
          <w:b/>
          <w:bCs/>
          <w:u w:val="single"/>
        </w:rPr>
        <w:t>Electricity</w:t>
      </w:r>
    </w:p>
    <w:p>
      <w:pPr>
        <w:pStyle w:val="Normal"/>
        <w:jc w:val="both"/>
        <w:rPr>
          <w:b/>
          <w:bCs/>
          <w:u w:val="single"/>
        </w:rPr>
      </w:pPr>
      <w:r>
        <w:rPr>
          <w:b/>
          <w:bCs/>
          <w:u w:val="single"/>
        </w:rPr>
      </w:r>
    </w:p>
    <w:p>
      <w:pPr>
        <w:pStyle w:val="Normal"/>
        <w:ind w:start="360" w:end="0"/>
        <w:jc w:val="both"/>
        <w:rPr/>
      </w:pPr>
      <w:r>
        <w:rPr/>
        <w:t>The EC proposal would bring competition to the supply of all industrial and commercial customers by 2003, and to all household customers by 2005.  This timetable is likely to slip by at least one year, because of French opposition to loss of “monopoly rights” and German opposition to</w:t>
      </w:r>
      <w:r>
        <w:rPr>
          <w:u w:val="single"/>
        </w:rPr>
        <w:t xml:space="preserve"> regulated</w:t>
      </w:r>
      <w:r>
        <w:rPr/>
        <w:t xml:space="preserve"> access.  The EC has also proposed a</w:t>
      </w:r>
      <w:r>
        <w:rPr>
          <w:u w:val="single"/>
        </w:rPr>
        <w:t xml:space="preserve"> Europe-wide</w:t>
      </w:r>
      <w:r>
        <w:rPr/>
        <w:t xml:space="preserve"> Regulation on </w:t>
      </w:r>
      <w:r>
        <w:rPr>
          <w:u w:val="single"/>
        </w:rPr>
        <w:t>cross-border</w:t>
      </w:r>
      <w:r>
        <w:rPr/>
        <w:t xml:space="preserve"> power transmission access, emerging from the </w:t>
      </w:r>
      <w:r>
        <w:rPr>
          <w:u w:val="single"/>
        </w:rPr>
        <w:t>Florence Forum</w:t>
      </w:r>
      <w:r>
        <w:rPr/>
        <w:t xml:space="preserve"> process.  It provides for non-pancaked tariffs and market based congestion management mechanisms; long term interconnection capacity reservation by vertically integrated incumbents would be phased out.</w:t>
      </w:r>
    </w:p>
    <w:p>
      <w:pPr>
        <w:pStyle w:val="Normal"/>
        <w:jc w:val="both"/>
        <w:rPr/>
      </w:pPr>
      <w:r>
        <w:rPr/>
        <w:tab/>
      </w:r>
    </w:p>
    <w:p>
      <w:pPr>
        <w:pStyle w:val="Normal"/>
        <w:ind w:firstLine="360" w:end="0"/>
        <w:jc w:val="both"/>
        <w:rPr>
          <w:b/>
          <w:bCs/>
          <w:u w:val="single"/>
        </w:rPr>
      </w:pPr>
      <w:r>
        <w:rPr>
          <w:b/>
          <w:bCs/>
          <w:u w:val="single"/>
        </w:rPr>
        <w:t>c)  Gas</w:t>
      </w:r>
    </w:p>
    <w:p>
      <w:pPr>
        <w:pStyle w:val="Normal"/>
        <w:jc w:val="both"/>
        <w:rPr>
          <w:b/>
          <w:bCs/>
          <w:u w:val="single"/>
        </w:rPr>
      </w:pPr>
      <w:r>
        <w:rPr>
          <w:b/>
          <w:bCs/>
          <w:u w:val="single"/>
        </w:rPr>
      </w:r>
    </w:p>
    <w:p>
      <w:pPr>
        <w:pStyle w:val="Normal"/>
        <w:ind w:start="360" w:end="0"/>
        <w:jc w:val="both"/>
        <w:rPr/>
      </w:pPr>
      <w:r>
        <w:rPr/>
        <w:t xml:space="preserve">The EC proposal foresees competition in gas supply for industrial and commercial customers lagging behind power by one year.  Gas incumbents are lobbying furiously against acceleration of opening on the pretext that </w:t>
      </w:r>
      <w:r>
        <w:rPr>
          <w:u w:val="single"/>
        </w:rPr>
        <w:t>security of supply</w:t>
      </w:r>
      <w:r>
        <w:rPr/>
        <w:t xml:space="preserve"> will be jeopardised.  In the meantime the EC and the CEER  (council of national regulators) enjoyed some progress in tackling cross-border access issues in the </w:t>
      </w:r>
      <w:r>
        <w:rPr>
          <w:u w:val="single"/>
        </w:rPr>
        <w:t>Madrid Forum</w:t>
      </w:r>
      <w:r>
        <w:rPr/>
        <w:t>. And the anti-trust arm of the EC has made a major breakthrough in impugning the GFU and forcing the Norwegian government to disband it (from 1 July).  There will instead henceforth be a system of TPA to offshore pipelines.  The EC is also attacking non-resale and exclusivity clauses in Russian and Algerian export contracts.</w:t>
      </w:r>
      <w:r>
        <w:br w:type="page"/>
      </w:r>
    </w:p>
    <w:p>
      <w:pPr>
        <w:pStyle w:val="Normal"/>
        <w:jc w:val="both"/>
        <w:rPr>
          <w:b/>
          <w:bCs/>
        </w:rPr>
      </w:pPr>
      <w:r>
        <w:rPr>
          <w:b/>
          <w:bCs/>
        </w:rPr>
      </w:r>
    </w:p>
    <w:p>
      <w:pPr>
        <w:pStyle w:val="Normal"/>
        <w:jc w:val="both"/>
        <w:rPr>
          <w:b/>
          <w:bCs/>
        </w:rPr>
      </w:pPr>
      <w:r>
        <w:rPr>
          <w:b/>
          <w:bCs/>
        </w:rPr>
      </w:r>
    </w:p>
    <w:p>
      <w:pPr>
        <w:pStyle w:val="Normal"/>
        <w:jc w:val="both"/>
        <w:rPr>
          <w:sz w:val="28"/>
        </w:rPr>
      </w:pPr>
      <w:r>
        <w:rPr>
          <w:b/>
          <w:bCs/>
          <w:sz w:val="28"/>
        </w:rPr>
        <w:t>2.  Germany</w:t>
      </w:r>
    </w:p>
    <w:p>
      <w:pPr>
        <w:pStyle w:val="Normal"/>
        <w:jc w:val="both"/>
        <w:rPr>
          <w:sz w:val="28"/>
        </w:rPr>
      </w:pPr>
      <w:r>
        <w:rPr>
          <w:sz w:val="28"/>
        </w:rPr>
      </w:r>
    </w:p>
    <w:p>
      <w:pPr>
        <w:pStyle w:val="Normal"/>
        <w:ind w:start="360" w:end="0"/>
        <w:jc w:val="both"/>
        <w:rPr>
          <w:b/>
          <w:bCs/>
          <w:u w:val="single"/>
        </w:rPr>
      </w:pPr>
      <w:r>
        <w:rPr>
          <w:b/>
          <w:bCs/>
          <w:u w:val="single"/>
        </w:rPr>
        <w:t>a)  Overview</w:t>
      </w:r>
    </w:p>
    <w:p>
      <w:pPr>
        <w:pStyle w:val="Normal"/>
        <w:jc w:val="both"/>
        <w:rPr>
          <w:b/>
          <w:bCs/>
          <w:u w:val="single"/>
        </w:rPr>
      </w:pPr>
      <w:r>
        <w:rPr>
          <w:b/>
          <w:bCs/>
          <w:u w:val="single"/>
        </w:rPr>
      </w:r>
    </w:p>
    <w:p>
      <w:pPr>
        <w:pStyle w:val="Normal"/>
        <w:ind w:start="360" w:end="0"/>
        <w:jc w:val="both"/>
        <w:rPr/>
      </w:pPr>
      <w:r>
        <w:rPr/>
        <w:t xml:space="preserve">A flourishing wholesale power market has been facilitated by both Federal Cartel Authority and EC anti-trust interventions.  But TPA remains in essence </w:t>
      </w:r>
      <w:r>
        <w:rPr>
          <w:u w:val="single"/>
        </w:rPr>
        <w:t>negotiated</w:t>
      </w:r>
      <w:r>
        <w:rPr/>
        <w:t>, with continuing attempts by the Minister to make the industry associations reach “compromises” on conditions of access in both power and gas.  We have been at the negotiating table through VIK/EFET.  The government remains opposed to appointing a regulator.</w:t>
      </w:r>
    </w:p>
    <w:p>
      <w:pPr>
        <w:pStyle w:val="Normal"/>
        <w:jc w:val="both"/>
        <w:rPr/>
      </w:pPr>
      <w:r>
        <w:rPr/>
        <w:t> </w:t>
      </w:r>
    </w:p>
    <w:p>
      <w:pPr>
        <w:pStyle w:val="Normal"/>
        <w:ind w:firstLine="360" w:end="0"/>
        <w:jc w:val="both"/>
        <w:rPr>
          <w:b/>
          <w:bCs/>
          <w:u w:val="single"/>
        </w:rPr>
      </w:pPr>
      <w:r>
        <w:rPr>
          <w:b/>
          <w:bCs/>
          <w:u w:val="single"/>
        </w:rPr>
        <w:t>b)  Electricity</w:t>
      </w:r>
    </w:p>
    <w:p>
      <w:pPr>
        <w:pStyle w:val="Normal"/>
        <w:jc w:val="both"/>
        <w:rPr>
          <w:b/>
          <w:bCs/>
          <w:u w:val="single"/>
        </w:rPr>
      </w:pPr>
      <w:r>
        <w:rPr>
          <w:b/>
          <w:bCs/>
          <w:u w:val="single"/>
        </w:rPr>
      </w:r>
    </w:p>
    <w:p>
      <w:pPr>
        <w:pStyle w:val="BodyTextIndent"/>
        <w:jc w:val="both"/>
        <w:rPr/>
      </w:pPr>
      <w:r>
        <w:rPr>
          <w:szCs w:val="24"/>
        </w:rPr>
        <w:t xml:space="preserve">Anti-trust interventions and some tough negotiations have yielded improvements with respect to high voltage network charges, uniformity of non-tariff conditions at the high voltage level, access to ancillary services and balancing power regimes.  However an export-related transmission fee (of dubious legality) is still demanded, and distribution tariffs remain hard to pin down.  There are threats of a “ban” on Eastern European nuclear or “dirty” power imports.  The RWE and E.on mergers created a national duopoly, which has paved way for higher wholesale prices than in 2000 and </w:t>
      </w:r>
      <w:r>
        <w:rPr>
          <w:szCs w:val="24"/>
          <w:u w:val="single"/>
        </w:rPr>
        <w:t>may not</w:t>
      </w:r>
      <w:r>
        <w:rPr>
          <w:szCs w:val="24"/>
        </w:rPr>
        <w:t xml:space="preserve"> be weakened by competition from EnBW (EdF) and HEW/Bewag/VEAG (Vattenfall and Mirant).</w:t>
      </w:r>
    </w:p>
    <w:p>
      <w:pPr>
        <w:pStyle w:val="Normal"/>
        <w:jc w:val="both"/>
        <w:rPr/>
      </w:pPr>
      <w:r>
        <w:rPr/>
        <w:t> </w:t>
      </w:r>
    </w:p>
    <w:p>
      <w:pPr>
        <w:pStyle w:val="Normal"/>
        <w:ind w:firstLine="360" w:end="0"/>
        <w:jc w:val="both"/>
        <w:rPr/>
      </w:pPr>
      <w:r>
        <w:rPr>
          <w:b/>
          <w:bCs/>
          <w:u w:val="single"/>
        </w:rPr>
        <w:t>c)</w:t>
      </w:r>
      <w:r>
        <w:rPr>
          <w:b/>
          <w:bCs/>
          <w:szCs w:val="15"/>
          <w:u w:val="single"/>
        </w:rPr>
        <w:t xml:space="preserve"> </w:t>
      </w:r>
      <w:r>
        <w:rPr>
          <w:b/>
          <w:bCs/>
          <w:u w:val="single"/>
        </w:rPr>
        <w:t xml:space="preserve"> Gas</w:t>
      </w:r>
    </w:p>
    <w:p>
      <w:pPr>
        <w:pStyle w:val="Normal"/>
        <w:jc w:val="both"/>
        <w:rPr/>
      </w:pPr>
      <w:r>
        <w:rPr/>
        <w:t> </w:t>
      </w:r>
    </w:p>
    <w:p>
      <w:pPr>
        <w:pStyle w:val="BodyTextIndent"/>
        <w:jc w:val="both"/>
        <w:rPr>
          <w:szCs w:val="24"/>
        </w:rPr>
      </w:pPr>
      <w:r>
        <w:rPr>
          <w:szCs w:val="24"/>
        </w:rPr>
        <w:t>Although our ground breaking anti-trust complaint against Ruhrgas, GVS and MVV brought us TPA for our Stadtwerk deals at a price, there is still a formidable negotiation hurdle for any new entrant trying to access customers.  A point-to-point charging method and availability of storage, blending and other facilities are particular problems.  However, on the wholesale trading front, a glimmer of hope is provided by Centrica’s initiative to set up the “Heathrow group” to elaborate terms for access to a possible new hub at Bunde/Emden on the German/Dutch border.</w:t>
      </w:r>
    </w:p>
    <w:p>
      <w:pPr>
        <w:pStyle w:val="Normal"/>
        <w:jc w:val="both"/>
        <w:rPr>
          <w:szCs w:val="24"/>
        </w:rPr>
      </w:pPr>
      <w:r>
        <w:rPr>
          <w:szCs w:val="24"/>
        </w:rPr>
      </w:r>
    </w:p>
    <w:p>
      <w:pPr>
        <w:pStyle w:val="Normal"/>
        <w:jc w:val="both"/>
        <w:rPr/>
      </w:pPr>
      <w:r>
        <w:rPr/>
      </w:r>
    </w:p>
    <w:p>
      <w:pPr>
        <w:pStyle w:val="Normal"/>
        <w:jc w:val="both"/>
        <w:rPr>
          <w:b/>
          <w:bCs/>
          <w:sz w:val="28"/>
        </w:rPr>
      </w:pPr>
      <w:r>
        <w:rPr>
          <w:b/>
          <w:bCs/>
          <w:sz w:val="28"/>
        </w:rPr>
        <w:t>3.  France</w:t>
      </w:r>
    </w:p>
    <w:p>
      <w:pPr>
        <w:pStyle w:val="Normal"/>
        <w:jc w:val="both"/>
        <w:rPr>
          <w:b/>
          <w:bCs/>
          <w:sz w:val="28"/>
        </w:rPr>
      </w:pPr>
      <w:r>
        <w:rPr>
          <w:b/>
          <w:bCs/>
          <w:sz w:val="28"/>
        </w:rPr>
      </w:r>
    </w:p>
    <w:p>
      <w:pPr>
        <w:pStyle w:val="Normal"/>
        <w:numPr>
          <w:ilvl w:val="0"/>
          <w:numId w:val="5"/>
        </w:numPr>
        <w:jc w:val="both"/>
        <w:rPr>
          <w:b/>
          <w:bCs/>
          <w:u w:val="single"/>
        </w:rPr>
      </w:pPr>
      <w:r>
        <w:rPr>
          <w:b/>
          <w:bCs/>
          <w:u w:val="single"/>
        </w:rPr>
        <w:t>Overview</w:t>
      </w:r>
    </w:p>
    <w:p>
      <w:pPr>
        <w:pStyle w:val="Normal"/>
        <w:ind w:start="360" w:end="0"/>
        <w:jc w:val="both"/>
        <w:rPr>
          <w:b/>
          <w:bCs/>
          <w:u w:val="single"/>
        </w:rPr>
      </w:pPr>
      <w:r>
        <w:rPr>
          <w:b/>
          <w:bCs/>
          <w:u w:val="single"/>
        </w:rPr>
      </w:r>
    </w:p>
    <w:p>
      <w:pPr>
        <w:pStyle w:val="Normal"/>
        <w:ind w:start="360" w:end="0"/>
        <w:jc w:val="both"/>
        <w:rPr/>
      </w:pPr>
      <w:r>
        <w:rPr/>
        <w:t>As long as the Jospin government is in power (elections due May 2002) there is little prospect of either accelerated market opening or privatisation.  EdF’s aggressive moves to buy small competitors in Germany, Spain and Italy have aroused national animosity and attempts to restrict investment, despite EU rules.  A robust statement by Prime Ministers at the EU Summit at Stockholm in March about enforcement of competition rules in the energy sector was primarily directed against EdF.  The government’s failure to implement the gas Directive has attracted an unusually determined infringement action by the EC.  Nonetheless TPA for the purpose of supplying industrial customers with both power and gas has proved feasible, partly thanks to the independence and resources of the new regulatory authority.  Wholesale power transactions inside France started in January 2001.</w:t>
      </w:r>
    </w:p>
    <w:p>
      <w:pPr>
        <w:pStyle w:val="Normal"/>
        <w:ind w:start="360" w:end="0"/>
        <w:jc w:val="both"/>
        <w:rPr/>
      </w:pPr>
      <w:r>
        <w:rPr/>
      </w:r>
    </w:p>
    <w:p>
      <w:pPr>
        <w:pStyle w:val="Normal"/>
        <w:numPr>
          <w:ilvl w:val="0"/>
          <w:numId w:val="5"/>
        </w:numPr>
        <w:jc w:val="both"/>
        <w:rPr>
          <w:b/>
          <w:bCs/>
          <w:u w:val="single"/>
        </w:rPr>
      </w:pPr>
      <w:r>
        <w:rPr>
          <w:b/>
          <w:bCs/>
          <w:u w:val="single"/>
        </w:rPr>
        <w:t>Electricity</w:t>
      </w:r>
    </w:p>
    <w:p>
      <w:pPr>
        <w:pStyle w:val="Normal"/>
        <w:ind w:start="360" w:end="0"/>
        <w:jc w:val="both"/>
        <w:rPr>
          <w:b/>
          <w:bCs/>
          <w:u w:val="single"/>
        </w:rPr>
      </w:pPr>
      <w:r>
        <w:rPr>
          <w:b/>
          <w:bCs/>
          <w:u w:val="single"/>
        </w:rPr>
      </w:r>
    </w:p>
    <w:p>
      <w:pPr>
        <w:pStyle w:val="Normal"/>
        <w:ind w:start="360" w:end="0"/>
        <w:jc w:val="both"/>
        <w:rPr/>
      </w:pPr>
      <w:r>
        <w:rPr/>
        <w:t>Industrial and commercial customers consuming &gt; 9 GWh p.a. are now free.  EdF balancing power tariffs have moderated by order of the CRE (regulator).  Network access charges are transparent and reasonable except for purposes of exports from France.  We are fighting particularly the ex post levying of occasional “congestion charges” at the German, Swiss and Belgian borders.  And border interconnection capacity allocation procedures for exports to the UK, Italy and Spain remain unsatisfactory, despite the introduction of explicit auctions and/or more transparent methods.  It has become possible to trade wholesale blocks of baseload or peak power on the French grid without facing internal congestion uncertainty.  Reserve can be purchased from EdF economically.  In September a process of virtual power plant capacity auctions will begin, bringing up to 6,000 MW of capacity to the wholesale market.  We suggested this mechanism as an anti-trust remedy in the EC merger review of EdF’s takeover of EnBW, designed the product, and continue to press for implementation on terms, and over a time period, more likely to bring competition in wholesale supplies.</w:t>
      </w:r>
    </w:p>
    <w:p>
      <w:pPr>
        <w:pStyle w:val="Normal"/>
        <w:jc w:val="both"/>
        <w:rPr/>
      </w:pPr>
      <w:r>
        <w:rPr/>
        <w:t> </w:t>
      </w:r>
    </w:p>
    <w:p>
      <w:pPr>
        <w:pStyle w:val="Normal"/>
        <w:numPr>
          <w:ilvl w:val="0"/>
          <w:numId w:val="5"/>
        </w:numPr>
        <w:jc w:val="both"/>
        <w:rPr>
          <w:b/>
          <w:bCs/>
          <w:u w:val="single"/>
        </w:rPr>
      </w:pPr>
      <w:r>
        <w:rPr>
          <w:b/>
          <w:bCs/>
          <w:u w:val="single"/>
        </w:rPr>
        <w:t>Gas</w:t>
      </w:r>
    </w:p>
    <w:p>
      <w:pPr>
        <w:pStyle w:val="Normal"/>
        <w:ind w:start="360" w:end="0"/>
        <w:jc w:val="both"/>
        <w:rPr>
          <w:b/>
          <w:bCs/>
          <w:u w:val="single"/>
        </w:rPr>
      </w:pPr>
      <w:r>
        <w:rPr>
          <w:b/>
          <w:bCs/>
          <w:u w:val="single"/>
        </w:rPr>
      </w:r>
    </w:p>
    <w:p>
      <w:pPr>
        <w:pStyle w:val="Normal"/>
        <w:ind w:start="360" w:end="0"/>
        <w:jc w:val="both"/>
        <w:rPr/>
      </w:pPr>
      <w:r>
        <w:rPr/>
        <w:t>Gaz de France has “volunteered” TPA, despite failure of the French government to adopt the Directive.  Terms of access are favourable compared with Germany and the Netherlands.  No hub has developed, however.  CRE expected to take on regulatory role when legislation passed (late 2001?).</w:t>
      </w:r>
    </w:p>
    <w:p>
      <w:pPr>
        <w:pStyle w:val="Normal"/>
        <w:ind w:start="360" w:end="0"/>
        <w:jc w:val="both"/>
        <w:rPr/>
      </w:pPr>
      <w:r>
        <w:rPr/>
      </w:r>
    </w:p>
    <w:p>
      <w:pPr>
        <w:pStyle w:val="Normal"/>
        <w:ind w:start="360" w:end="0"/>
        <w:jc w:val="both"/>
        <w:rPr/>
      </w:pPr>
      <w:r>
        <w:rPr/>
      </w:r>
    </w:p>
    <w:p>
      <w:pPr>
        <w:pStyle w:val="Normal"/>
        <w:jc w:val="both"/>
        <w:rPr>
          <w:b/>
          <w:bCs/>
          <w:sz w:val="28"/>
        </w:rPr>
      </w:pPr>
      <w:r>
        <w:rPr>
          <w:b/>
          <w:bCs/>
          <w:sz w:val="28"/>
        </w:rPr>
        <w:t>4. Italy</w:t>
      </w:r>
    </w:p>
    <w:p>
      <w:pPr>
        <w:pStyle w:val="Normal"/>
        <w:jc w:val="both"/>
        <w:rPr>
          <w:b/>
          <w:bCs/>
          <w:sz w:val="28"/>
        </w:rPr>
      </w:pPr>
      <w:r>
        <w:rPr>
          <w:b/>
          <w:bCs/>
          <w:sz w:val="28"/>
        </w:rPr>
      </w:r>
    </w:p>
    <w:p>
      <w:pPr>
        <w:pStyle w:val="Normal"/>
        <w:numPr>
          <w:ilvl w:val="0"/>
          <w:numId w:val="2"/>
        </w:numPr>
        <w:jc w:val="both"/>
        <w:rPr>
          <w:b/>
          <w:bCs/>
          <w:u w:val="single"/>
        </w:rPr>
      </w:pPr>
      <w:r>
        <w:rPr>
          <w:b/>
          <w:bCs/>
          <w:u w:val="single"/>
        </w:rPr>
        <w:t>Overview</w:t>
      </w:r>
    </w:p>
    <w:p>
      <w:pPr>
        <w:pStyle w:val="Normal"/>
        <w:jc w:val="both"/>
        <w:rPr>
          <w:b/>
          <w:bCs/>
          <w:u w:val="single"/>
        </w:rPr>
      </w:pPr>
      <w:r>
        <w:rPr>
          <w:b/>
          <w:bCs/>
          <w:u w:val="single"/>
        </w:rPr>
      </w:r>
    </w:p>
    <w:p>
      <w:pPr>
        <w:pStyle w:val="Normal"/>
        <w:ind w:start="360" w:end="0"/>
        <w:jc w:val="both"/>
        <w:rPr/>
      </w:pPr>
      <w:r>
        <w:rPr/>
        <w:t>Power and gas markets remain open only for larger end users and distributors.  Wholesalers find difficulty in achieving access to interconnection capacity across Alps for both power and gas imports.  Gas release has already benefitted fellow incumbents of SNAM, particularly GdF, and Elettrogen and other spin-offs from ENEL appear set to have same result.</w:t>
      </w:r>
    </w:p>
    <w:p>
      <w:pPr>
        <w:pStyle w:val="Normal"/>
        <w:ind w:start="360" w:end="0"/>
        <w:jc w:val="both"/>
        <w:rPr/>
      </w:pPr>
      <w:r>
        <w:rPr/>
      </w:r>
    </w:p>
    <w:p>
      <w:pPr>
        <w:pStyle w:val="Normal"/>
        <w:numPr>
          <w:ilvl w:val="0"/>
          <w:numId w:val="2"/>
        </w:numPr>
        <w:jc w:val="both"/>
        <w:rPr>
          <w:b/>
          <w:bCs/>
        </w:rPr>
      </w:pPr>
      <w:r>
        <w:rPr>
          <w:b/>
          <w:bCs/>
        </w:rPr>
        <w:t>Electricity</w:t>
      </w:r>
    </w:p>
    <w:p>
      <w:pPr>
        <w:pStyle w:val="Normal"/>
        <w:jc w:val="both"/>
        <w:rPr>
          <w:b/>
          <w:bCs/>
        </w:rPr>
      </w:pPr>
      <w:r>
        <w:rPr>
          <w:b/>
          <w:bCs/>
        </w:rPr>
      </w:r>
    </w:p>
    <w:p>
      <w:pPr>
        <w:pStyle w:val="Normal"/>
        <w:ind w:start="360" w:end="0"/>
        <w:jc w:val="both"/>
        <w:rPr/>
      </w:pPr>
      <w:r>
        <w:rPr/>
        <w:t>Despite efforts of regulator, only isolated bilateral supply contracts for large end users and distributors are concluded by new entrants.  Edision appears to be favoured as a “second incumbent”.  Mismatch of allocation in interconnection capacity persists between France and Italy; long term import contracts of ENEL are not yet broken, despite EC anti-trust intervention.  Formation of power pool is on agonisingly slow track.</w:t>
      </w:r>
    </w:p>
    <w:p>
      <w:pPr>
        <w:pStyle w:val="Normal"/>
        <w:ind w:start="360" w:end="0"/>
        <w:jc w:val="both"/>
        <w:rPr/>
      </w:pPr>
      <w:r>
        <w:rPr/>
      </w:r>
    </w:p>
    <w:p>
      <w:pPr>
        <w:pStyle w:val="Normal"/>
        <w:numPr>
          <w:ilvl w:val="0"/>
          <w:numId w:val="2"/>
        </w:numPr>
        <w:jc w:val="both"/>
        <w:rPr>
          <w:b/>
          <w:bCs/>
          <w:u w:val="single"/>
        </w:rPr>
      </w:pPr>
      <w:r>
        <w:rPr>
          <w:b/>
          <w:bCs/>
          <w:u w:val="single"/>
        </w:rPr>
        <w:t>Gas</w:t>
      </w:r>
    </w:p>
    <w:p>
      <w:pPr>
        <w:pStyle w:val="Normal"/>
        <w:jc w:val="both"/>
        <w:rPr>
          <w:b/>
          <w:bCs/>
          <w:u w:val="single"/>
        </w:rPr>
      </w:pPr>
      <w:r>
        <w:rPr>
          <w:b/>
          <w:bCs/>
          <w:u w:val="single"/>
        </w:rPr>
      </w:r>
    </w:p>
    <w:p>
      <w:pPr>
        <w:pStyle w:val="Normal"/>
        <w:ind w:start="360" w:end="0"/>
        <w:jc w:val="both"/>
        <w:rPr/>
      </w:pPr>
      <w:r>
        <w:rPr/>
        <w:t>Law granting TPA restricts SNAM to 70% of market but regulator has not yet enforced a regime, which would enable true new entrants to enter the market.  “Security of supply” requirement that importers should have access to storage is a particular hindrance.</w:t>
      </w:r>
    </w:p>
    <w:p>
      <w:pPr>
        <w:pStyle w:val="Normal"/>
        <w:ind w:start="360" w:end="0"/>
        <w:jc w:val="both"/>
        <w:rPr/>
      </w:pPr>
      <w:r>
        <w:rPr/>
      </w:r>
    </w:p>
    <w:p>
      <w:pPr>
        <w:pStyle w:val="Normal"/>
        <w:ind w:start="360" w:end="0"/>
        <w:jc w:val="both"/>
        <w:rPr/>
      </w:pPr>
      <w:r>
        <w:rPr/>
      </w:r>
    </w:p>
    <w:p>
      <w:pPr>
        <w:pStyle w:val="Normal"/>
        <w:jc w:val="both"/>
        <w:rPr>
          <w:b/>
          <w:bCs/>
          <w:sz w:val="28"/>
        </w:rPr>
      </w:pPr>
      <w:r>
        <w:rPr>
          <w:b/>
          <w:bCs/>
          <w:sz w:val="28"/>
        </w:rPr>
        <w:t>5.  Spain</w:t>
      </w:r>
    </w:p>
    <w:p>
      <w:pPr>
        <w:pStyle w:val="Normal"/>
        <w:jc w:val="both"/>
        <w:rPr>
          <w:b/>
          <w:bCs/>
          <w:sz w:val="28"/>
        </w:rPr>
      </w:pPr>
      <w:r>
        <w:rPr>
          <w:b/>
          <w:bCs/>
          <w:sz w:val="28"/>
        </w:rPr>
      </w:r>
    </w:p>
    <w:p>
      <w:pPr>
        <w:pStyle w:val="Normal"/>
        <w:numPr>
          <w:ilvl w:val="0"/>
          <w:numId w:val="3"/>
        </w:numPr>
        <w:jc w:val="both"/>
        <w:rPr>
          <w:b/>
          <w:bCs/>
          <w:u w:val="single"/>
        </w:rPr>
      </w:pPr>
      <w:r>
        <w:rPr>
          <w:b/>
          <w:bCs/>
          <w:u w:val="single"/>
        </w:rPr>
        <w:t>Overview</w:t>
      </w:r>
    </w:p>
    <w:p>
      <w:pPr>
        <w:pStyle w:val="Normal"/>
        <w:jc w:val="both"/>
        <w:rPr>
          <w:b/>
          <w:bCs/>
          <w:u w:val="single"/>
        </w:rPr>
      </w:pPr>
      <w:r>
        <w:rPr>
          <w:b/>
          <w:bCs/>
          <w:u w:val="single"/>
        </w:rPr>
      </w:r>
    </w:p>
    <w:p>
      <w:pPr>
        <w:pStyle w:val="Normal"/>
        <w:ind w:start="360" w:end="0"/>
        <w:jc w:val="both"/>
        <w:rPr/>
      </w:pPr>
      <w:r>
        <w:rPr/>
        <w:t>Government of Snr. Aznar is main proponent, alongside UK, of EU market liberalisation acceleration.  Domestic political and regulatory agenda partly gives credence to this support.  But severe doubts remain about functioning of power Pool and access for new entrants to gas pipeline system.</w:t>
      </w:r>
    </w:p>
    <w:p>
      <w:pPr>
        <w:pStyle w:val="Normal"/>
        <w:ind w:start="360" w:end="0"/>
        <w:jc w:val="both"/>
        <w:rPr/>
      </w:pPr>
      <w:r>
        <w:rPr/>
      </w:r>
    </w:p>
    <w:p>
      <w:pPr>
        <w:pStyle w:val="Normal"/>
        <w:numPr>
          <w:ilvl w:val="0"/>
          <w:numId w:val="3"/>
        </w:numPr>
        <w:jc w:val="both"/>
        <w:rPr>
          <w:b/>
          <w:bCs/>
          <w:u w:val="single"/>
        </w:rPr>
      </w:pPr>
      <w:r>
        <w:rPr>
          <w:b/>
          <w:bCs/>
          <w:u w:val="single"/>
        </w:rPr>
        <w:t>Electricity</w:t>
      </w:r>
    </w:p>
    <w:p>
      <w:pPr>
        <w:pStyle w:val="Normal"/>
        <w:jc w:val="both"/>
        <w:rPr>
          <w:b/>
          <w:bCs/>
          <w:u w:val="single"/>
        </w:rPr>
      </w:pPr>
      <w:r>
        <w:rPr>
          <w:b/>
          <w:bCs/>
          <w:u w:val="single"/>
        </w:rPr>
      </w:r>
    </w:p>
    <w:p>
      <w:pPr>
        <w:pStyle w:val="Normal"/>
        <w:ind w:start="360" w:end="0"/>
        <w:jc w:val="both"/>
        <w:rPr/>
      </w:pPr>
      <w:r>
        <w:rPr/>
        <w:t xml:space="preserve">Vertical integration of four incumbents, Pool price uplifts for stranded costs and guaranteed coverage of distribution costs in Pool continue to distort market.  Four incumbents avoid pricing risk and enjoy market power.  But Pool is transparent and allows access to supplies for new entrants, even if they cannot obtain interconnection capacity at French border to import on their own account. Competition authority / Minister effectively prevented merger of Endesa/Iberdrola by demanding disposal concessions.  Endesa now due to spin off some generation anyway, to meet maximum market share target.  EC anti-trust review of planned EnBW (EdF) takeover of Hidrocantabrica may give opportunity to open up border capacity to new entrants and to challenge EdF long-term export contract reservation.  </w:t>
      </w:r>
    </w:p>
    <w:p>
      <w:pPr>
        <w:pStyle w:val="Normal"/>
        <w:ind w:start="360" w:end="0"/>
        <w:jc w:val="both"/>
        <w:rPr/>
      </w:pPr>
      <w:r>
        <w:rPr/>
      </w:r>
    </w:p>
    <w:p>
      <w:pPr>
        <w:pStyle w:val="Normal"/>
        <w:numPr>
          <w:ilvl w:val="0"/>
          <w:numId w:val="3"/>
        </w:numPr>
        <w:jc w:val="both"/>
        <w:rPr>
          <w:b/>
          <w:bCs/>
          <w:u w:val="single"/>
        </w:rPr>
      </w:pPr>
      <w:r>
        <w:rPr>
          <w:b/>
          <w:bCs/>
          <w:u w:val="single"/>
        </w:rPr>
        <w:t>Gas</w:t>
      </w:r>
    </w:p>
    <w:p>
      <w:pPr>
        <w:pStyle w:val="Normal"/>
        <w:jc w:val="both"/>
        <w:rPr>
          <w:b/>
          <w:bCs/>
          <w:u w:val="single"/>
        </w:rPr>
      </w:pPr>
      <w:r>
        <w:rPr>
          <w:b/>
          <w:bCs/>
          <w:u w:val="single"/>
        </w:rPr>
      </w:r>
    </w:p>
    <w:p>
      <w:pPr>
        <w:pStyle w:val="Normal"/>
        <w:ind w:start="360" w:end="0"/>
        <w:jc w:val="both"/>
        <w:rPr/>
      </w:pPr>
      <w:r>
        <w:rPr/>
        <w:t>Ruling in our favour by CNE (regulator) for Arcos showed resolve to secure participation in new-build gas-fired generation by non-incumbents.  Disposal of Enagas (system operator) by Gas Natural still delayed (having been due in January 2001).  Release of 25% of Maghreb pipeline quantities controlled by Gas Natural also planned, but still awaited.</w:t>
      </w:r>
    </w:p>
    <w:p>
      <w:pPr>
        <w:pStyle w:val="Normal"/>
        <w:ind w:start="360" w:end="0"/>
        <w:jc w:val="both"/>
        <w:rPr/>
      </w:pPr>
      <w:r>
        <w:rPr/>
      </w:r>
      <w:r>
        <w:br w:type="page"/>
      </w:r>
    </w:p>
    <w:p>
      <w:pPr>
        <w:pStyle w:val="Normal"/>
        <w:ind w:start="360" w:end="0"/>
        <w:jc w:val="both"/>
        <w:rPr/>
      </w:pPr>
      <w:r>
        <w:rPr/>
      </w:r>
    </w:p>
    <w:p>
      <w:pPr>
        <w:pStyle w:val="Normal"/>
        <w:jc w:val="both"/>
        <w:rPr>
          <w:b/>
          <w:bCs/>
          <w:sz w:val="28"/>
        </w:rPr>
      </w:pPr>
      <w:r>
        <w:rPr>
          <w:b/>
          <w:bCs/>
          <w:sz w:val="28"/>
        </w:rPr>
        <w:t>6.  Benelux</w:t>
      </w:r>
    </w:p>
    <w:p>
      <w:pPr>
        <w:pStyle w:val="Normal"/>
        <w:jc w:val="both"/>
        <w:rPr>
          <w:b/>
          <w:bCs/>
          <w:sz w:val="28"/>
        </w:rPr>
      </w:pPr>
      <w:r>
        <w:rPr>
          <w:b/>
          <w:bCs/>
          <w:sz w:val="28"/>
        </w:rPr>
      </w:r>
    </w:p>
    <w:p>
      <w:pPr>
        <w:pStyle w:val="Normal"/>
        <w:numPr>
          <w:ilvl w:val="0"/>
          <w:numId w:val="6"/>
        </w:numPr>
        <w:jc w:val="both"/>
        <w:rPr>
          <w:b/>
          <w:bCs/>
          <w:u w:val="single"/>
        </w:rPr>
      </w:pPr>
      <w:r>
        <w:rPr>
          <w:b/>
          <w:bCs/>
          <w:u w:val="single"/>
        </w:rPr>
        <w:t>Overview</w:t>
      </w:r>
    </w:p>
    <w:p>
      <w:pPr>
        <w:pStyle w:val="Normal"/>
        <w:jc w:val="both"/>
        <w:rPr>
          <w:b/>
          <w:bCs/>
          <w:u w:val="single"/>
        </w:rPr>
      </w:pPr>
      <w:r>
        <w:rPr>
          <w:b/>
          <w:bCs/>
          <w:u w:val="single"/>
        </w:rPr>
      </w:r>
    </w:p>
    <w:p>
      <w:pPr>
        <w:pStyle w:val="BodyTextIndent2"/>
        <w:rPr/>
      </w:pPr>
      <w:r>
        <w:rPr/>
        <w:t>Netherlands is the country which promised most, quickest, in power liberalisation as of 1996, but has essentially failed to deliver.  Market opening remains limited, incumbent generators and distributors have been protected, especially from imports, and formation of a wholesale market has been botched.  In gas, the Dutch government has lived up to its implicit promise to shelter part State-owned Gasunie from the full rigours of RTPA and competition from new importers.  Meanwhile, Belgium is on almost all counts “bottom of the class” in EU liberalisation of both power and gas.  Electrabel and Distrigas remain effectively unchallenged on their own territory.  The one bright spot there is the Zeebrugge gas trading hub.</w:t>
      </w:r>
    </w:p>
    <w:p>
      <w:pPr>
        <w:pStyle w:val="Normal"/>
        <w:ind w:start="360" w:end="0"/>
        <w:jc w:val="both"/>
        <w:rPr/>
      </w:pPr>
      <w:r>
        <w:rPr/>
      </w:r>
    </w:p>
    <w:p>
      <w:pPr>
        <w:pStyle w:val="Normal"/>
        <w:numPr>
          <w:ilvl w:val="0"/>
          <w:numId w:val="6"/>
        </w:numPr>
        <w:jc w:val="both"/>
        <w:rPr>
          <w:b/>
          <w:bCs/>
          <w:u w:val="single"/>
        </w:rPr>
      </w:pPr>
      <w:r>
        <w:rPr>
          <w:b/>
          <w:bCs/>
          <w:u w:val="single"/>
        </w:rPr>
        <w:t>Electricity</w:t>
      </w:r>
    </w:p>
    <w:p>
      <w:pPr>
        <w:pStyle w:val="Normal"/>
        <w:jc w:val="both"/>
        <w:rPr>
          <w:b/>
          <w:bCs/>
          <w:u w:val="single"/>
        </w:rPr>
      </w:pPr>
      <w:r>
        <w:rPr>
          <w:b/>
          <w:bCs/>
          <w:u w:val="single"/>
        </w:rPr>
      </w:r>
    </w:p>
    <w:p>
      <w:pPr>
        <w:pStyle w:val="Normal"/>
        <w:autoSpaceDE w:val="false"/>
        <w:spacing w:lineRule="atLeast" w:line="240"/>
        <w:ind w:start="360" w:end="0"/>
        <w:rPr/>
      </w:pPr>
      <w:r>
        <w:rPr/>
        <w:t xml:space="preserve">The Benelux area remains artificially protected from competition from low cost imports by commercial limitations on availability of interconnection capacity.  Governments and regulators have failed to prevent the integrated generators and TSOs from manipulating reservation of capacity for their own benefit.  In the Netherlands the “excuse” is SEP long term import contracts; in Belgium Electrabel flagrantly encourages CPTE, its captive TSO arm, to block third party access requests by a variety of delaying tactics and exorbitant charges.  Trading is possible on the Amsterdam power exchange, but it has to function with allocation of less than half declared available </w:t>
      </w:r>
      <w:r>
        <w:rPr>
          <w:color w:val="000000"/>
          <w:lang w:val="en-US"/>
        </w:rPr>
        <w:t>Dutch import capacity, which in turn is probably only about half of what could physically be made available in the hands of a more progressive and transparent TSO.  There are signs of regulatory impatience, but the hands of the chief regulator are tied by instructions from the Ministry.  The SEP long term reservation of capacity remains under sustained anti-trust attack by the EC.  The EC also continues an infringement action against Belgium for failure to implement the Directive.</w:t>
      </w:r>
    </w:p>
    <w:p>
      <w:pPr>
        <w:pStyle w:val="Normal"/>
        <w:tabs>
          <w:tab w:val="left" w:pos="720" w:leader="none"/>
        </w:tabs>
        <w:autoSpaceDE w:val="false"/>
        <w:spacing w:lineRule="atLeast" w:line="240"/>
        <w:jc w:val="both"/>
        <w:rPr>
          <w:color w:val="000000"/>
          <w:lang w:val="en-US"/>
        </w:rPr>
      </w:pPr>
      <w:r>
        <w:rPr>
          <w:color w:val="000000"/>
          <w:lang w:val="en-US"/>
        </w:rPr>
        <w:tab/>
      </w:r>
    </w:p>
    <w:p>
      <w:pPr>
        <w:pStyle w:val="Normal"/>
        <w:tabs>
          <w:tab w:val="left" w:pos="720" w:leader="none"/>
        </w:tabs>
        <w:autoSpaceDE w:val="false"/>
        <w:spacing w:lineRule="atLeast" w:line="240"/>
        <w:ind w:firstLine="360" w:end="0"/>
        <w:jc w:val="both"/>
        <w:rPr>
          <w:b/>
          <w:bCs/>
          <w:color w:val="000000"/>
          <w:lang w:val="en-US"/>
        </w:rPr>
      </w:pPr>
      <w:r>
        <w:rPr>
          <w:b/>
          <w:bCs/>
          <w:color w:val="000000"/>
          <w:lang w:val="en-US"/>
        </w:rPr>
        <w:t>c)</w:t>
        <w:tab/>
      </w:r>
      <w:r>
        <w:rPr>
          <w:b/>
          <w:bCs/>
          <w:color w:val="000000"/>
          <w:u w:val="single"/>
          <w:lang w:val="en-US"/>
        </w:rPr>
        <w:t>Gas</w:t>
      </w:r>
    </w:p>
    <w:p>
      <w:pPr>
        <w:pStyle w:val="Normal"/>
        <w:autoSpaceDE w:val="false"/>
        <w:spacing w:lineRule="atLeast" w:line="240"/>
        <w:ind w:start="360" w:end="0"/>
        <w:jc w:val="both"/>
        <w:rPr>
          <w:b/>
          <w:bCs/>
          <w:color w:val="000000"/>
          <w:lang w:val="en-US"/>
        </w:rPr>
      </w:pPr>
      <w:r>
        <w:rPr>
          <w:b/>
          <w:bCs/>
          <w:color w:val="000000"/>
          <w:lang w:val="en-US"/>
        </w:rPr>
      </w:r>
    </w:p>
    <w:p>
      <w:pPr>
        <w:pStyle w:val="Normal"/>
        <w:autoSpaceDE w:val="false"/>
        <w:spacing w:lineRule="atLeast" w:line="240"/>
        <w:ind w:start="360" w:end="0"/>
        <w:rPr>
          <w:color w:val="000000"/>
          <w:lang w:val="en-US"/>
        </w:rPr>
      </w:pPr>
      <w:r>
        <w:rPr>
          <w:color w:val="000000"/>
          <w:lang w:val="en-US"/>
        </w:rPr>
        <w:t>The successful establishment of the Zeebrugge hub for trading is in stark contrast to the virtual impossibility of accessing the Distrigas system to supply Belgian customers.  There are signs that the CREG (regulator), although moribund on the power side, wishes to rectify the situation, once the Belgian government assumes the EU Presidency (1 July).  In the Dutch market, Gasunie continues to make life difficult for would-be competitors by excessive TPA charges, restricting access to storage and imposing draconian balancing requirements.  The government pulled back from adopting RTPA, though the regulator is meant to oversee the market.  This summer a series of industry consultations may help to push back the recent NTPA tendency.</w:t>
      </w:r>
    </w:p>
    <w:p>
      <w:pPr>
        <w:pStyle w:val="Normal"/>
        <w:ind w:start="360" w:end="0"/>
        <w:jc w:val="both"/>
        <w:rPr>
          <w:color w:val="000000"/>
          <w:lang w:val="en-US"/>
        </w:rPr>
      </w:pPr>
      <w:r>
        <w:rPr>
          <w:color w:val="000000"/>
          <w:lang w:val="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lowerLetter"/>
      <w:lvlText w:val="%1)"/>
      <w:lvlJc w:val="start"/>
      <w:pPr>
        <w:tabs>
          <w:tab w:val="num" w:pos="720"/>
        </w:tabs>
        <w:ind w:start="720" w:hanging="360"/>
      </w:pPr>
      <w:rPr/>
    </w:lvl>
  </w:abstractNum>
  <w:abstractNum w:abstractNumId="6">
    <w:lvl w:ilvl="0">
      <w:start w:val="1"/>
      <w:numFmt w:val="low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jc w:val="end"/>
      <w:outlineLvl w:val="0"/>
    </w:pPr>
    <w:rPr>
      <w:b/>
      <w:bCs/>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lang w:val="en-US"/>
    </w:rPr>
  </w:style>
  <w:style w:type="paragraph" w:styleId="BodyTextIndent">
    <w:name w:val="Body Text Indent"/>
    <w:basedOn w:val="Normal"/>
    <w:pPr>
      <w:ind w:hanging="0" w:start="360" w:end="0"/>
    </w:pPr>
    <w:rPr>
      <w:szCs w:val="20"/>
    </w:rPr>
  </w:style>
  <w:style w:type="paragraph" w:styleId="BodyText2">
    <w:name w:val="Body Text 2"/>
    <w:basedOn w:val="Normal"/>
    <w:qFormat/>
    <w:pPr>
      <w:jc w:val="both"/>
    </w:pPr>
    <w:rPr>
      <w:sz w:val="40"/>
    </w:rPr>
  </w:style>
  <w:style w:type="paragraph" w:styleId="BodyTextIndent2">
    <w:name w:val="Body Text Indent 2"/>
    <w:basedOn w:val="Normal"/>
    <w:qFormat/>
    <w:pPr>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2001-06-25T09:28:00Z</dcterms:created>
  <dc:creator>pmilano</dc:creator>
  <dc:description/>
  <dc:language>en-CA</dc:language>
  <cp:lastModifiedBy>ndindaro</cp:lastModifiedBy>
  <cp:lastPrinted>2001-06-25T15:14:00Z</cp:lastPrinted>
  <dcterms:modified xsi:type="dcterms:W3CDTF">2001-06-25T11:44:00Z</dcterms:modified>
  <cp:revision>3</cp:revision>
  <dc:subject/>
  <dc:title>Enron Europe, Government and Regulatory Affairs</dc:title>
</cp:coreProperties>
</file>