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png" ContentType="image/png"/>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0"/>
        </w:rPr>
      </w:pPr>
      <w:r>
        <w:rPr>
          <w:sz w:val="20"/>
        </w:rPr>
        <w:t>November 22, 2000</w:t>
      </w:r>
    </w:p>
    <w:p>
      <w:pPr>
        <w:pStyle w:val="Normal"/>
        <w:rPr>
          <w:sz w:val="20"/>
        </w:rPr>
      </w:pPr>
      <w:r>
        <w:rPr>
          <w:sz w:val="20"/>
        </w:rPr>
      </w:r>
    </w:p>
    <w:p>
      <w:pPr>
        <w:pStyle w:val="Normal"/>
        <w:keepNext w:val="true"/>
        <w:tabs>
          <w:tab w:val="clear" w:pos="720"/>
          <w:tab w:val="left" w:pos="3762" w:leader="none"/>
          <w:tab w:val="left" w:pos="4230" w:leader="none"/>
          <w:tab w:val="left" w:pos="9360" w:leader="none"/>
        </w:tabs>
        <w:spacing w:lineRule="exact" w:line="240"/>
        <w:jc w:val="both"/>
        <w:rPr>
          <w:sz w:val="20"/>
        </w:rPr>
      </w:pPr>
      <w:r>
        <w:rPr>
          <w:sz w:val="20"/>
        </w:rPr>
        <w:t>Eugene Water &amp; Electric Board</w:t>
      </w:r>
    </w:p>
    <w:p>
      <w:pPr>
        <w:pStyle w:val="Normal"/>
        <w:keepNext w:val="true"/>
        <w:tabs>
          <w:tab w:val="clear" w:pos="720"/>
          <w:tab w:val="left" w:pos="3762" w:leader="none"/>
          <w:tab w:val="left" w:pos="4230" w:leader="none"/>
          <w:tab w:val="left" w:pos="9360" w:leader="none"/>
        </w:tabs>
        <w:spacing w:lineRule="exact" w:line="240"/>
        <w:jc w:val="both"/>
        <w:rPr>
          <w:sz w:val="20"/>
        </w:rPr>
      </w:pPr>
      <w:r>
        <w:rPr>
          <w:sz w:val="20"/>
        </w:rPr>
        <w:t>500 East 4th Avenue</w:t>
      </w:r>
    </w:p>
    <w:p>
      <w:pPr>
        <w:pStyle w:val="Normal"/>
        <w:keepNext w:val="true"/>
        <w:tabs>
          <w:tab w:val="clear" w:pos="720"/>
          <w:tab w:val="left" w:pos="3762" w:leader="none"/>
          <w:tab w:val="left" w:pos="4230" w:leader="none"/>
          <w:tab w:val="left" w:pos="9360" w:leader="none"/>
        </w:tabs>
        <w:spacing w:lineRule="exact" w:line="240"/>
        <w:jc w:val="both"/>
        <w:rPr>
          <w:sz w:val="20"/>
        </w:rPr>
      </w:pPr>
      <w:r>
        <w:rPr>
          <w:sz w:val="20"/>
        </w:rPr>
        <w:t>Eugene, Oregon 97440-2148</w:t>
      </w:r>
    </w:p>
    <w:p>
      <w:pPr>
        <w:pStyle w:val="Normal"/>
        <w:rPr>
          <w:sz w:val="20"/>
        </w:rPr>
      </w:pPr>
      <w:r>
        <w:rPr>
          <w:sz w:val="20"/>
        </w:rPr>
        <w:t xml:space="preserve">Attention: Bert Dunn </w:t>
      </w:r>
    </w:p>
    <w:p>
      <w:pPr>
        <w:pStyle w:val="Index1"/>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2952" w:leader="none"/>
          <w:tab w:val="left" w:pos="4230" w:leader="none"/>
          <w:tab w:val="left" w:pos="9360" w:leader="none"/>
        </w:tabs>
        <w:spacing w:lineRule="exact" w:line="240"/>
        <w:ind w:start="72" w:end="0"/>
        <w:jc w:val="both"/>
        <w:rPr>
          <w:sz w:val="20"/>
        </w:rPr>
      </w:pPr>
      <w:r>
        <w:rPr>
          <w:sz w:val="20"/>
        </w:rPr>
        <w:t>Fax No.: (541) 341-1889</w:t>
      </w:r>
    </w:p>
    <w:p>
      <w:pPr>
        <w:pStyle w:val="Index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Telephone No.: (541) 341-8564</w:t>
      </w:r>
    </w:p>
    <w:p>
      <w:pPr>
        <w:pStyle w:val="Normal"/>
        <w:rPr>
          <w:rFonts w:ascii="Times New Roman" w:hAnsi="Times New Roman" w:cs="Times New Roman"/>
          <w:sz w:val="20"/>
        </w:rPr>
      </w:pPr>
      <w:r>
        <w:rPr>
          <w:rFonts w:cs="Times New Roman"/>
          <w:sz w:val="20"/>
        </w:rPr>
      </w:r>
    </w:p>
    <w:p>
      <w:pPr>
        <w:pStyle w:val="Normal"/>
        <w:rPr>
          <w:sz w:val="20"/>
        </w:rPr>
      </w:pPr>
      <w:r>
        <w:rPr>
          <w:sz w:val="20"/>
        </w:rPr>
        <w:t>Re:</w:t>
        <w:tab/>
        <w:t>TRANSACTION ENA Contract No. 447459.4</w:t>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Normal"/>
        <w:jc w:val="both"/>
        <w:rPr>
          <w:sz w:val="20"/>
        </w:rPr>
      </w:pPr>
      <w:r>
        <w:rPr>
          <w:sz w:val="20"/>
        </w:rPr>
        <w:t>The purpose of this document is to confirm the terms and conditions of the transaction entered into between Eugene Water &amp; Electric Board (“Counterparty”) and Enron North America Corp. (“ENA”) on October 30,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October 30, 2000 between Holli Krebs of ENA and Bert Dunn of Counterparty.</w:t>
      </w:r>
    </w:p>
    <w:p>
      <w:pPr>
        <w:pStyle w:val="Normal"/>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rFonts w:ascii="Times New Roman" w:hAnsi="Times New Roman" w:cs="Times New Roman"/>
          <w:sz w:val="20"/>
        </w:rPr>
      </w:pPr>
      <w:r>
        <w:rPr>
          <w:rFonts w:cs="Times New Roman"/>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pPr>
            <w:r>
              <w:rPr>
                <w:sz w:val="20"/>
              </w:rPr>
              <w:fldChar w:fldCharType="begin"/>
            </w:r>
            <w:r>
              <w:rPr>
                <w:sz w:val="20"/>
              </w:rPr>
              <w:instrText xml:space="preserve"> MERGEFIELD QuantityPerHour </w:instrText>
            </w:r>
            <w:r>
              <w:rPr>
                <w:sz w:val="20"/>
              </w:rPr>
              <w:fldChar w:fldCharType="separate"/>
            </w:r>
            <w:r>
              <w:rPr>
                <w:sz w:val="20"/>
              </w:rPr>
              <w:t>25</w:t>
            </w:r>
            <w:r>
              <w:rPr>
                <w:sz w:val="20"/>
              </w:rPr>
              <w:fldChar w:fldCharType="end"/>
            </w:r>
            <w:r>
              <w:rPr>
                <w:sz w:val="20"/>
              </w:rPr>
              <w:t xml:space="preserve"> </w:t>
            </w:r>
            <w:r>
              <w:rPr>
                <w:sz w:val="20"/>
              </w:rPr>
              <w:t>MWs per hour for each hour during the Calculation Period.</w:t>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Electricity/MWh</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MWh (Megawatt hours)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October 30, 2000</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April 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December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April 1, 2002 and ending on December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b/>
          <w:sz w:val="20"/>
        </w:rPr>
      </w:pPr>
      <w:r>
        <w:rPr>
          <w:b/>
          <w:sz w:val="20"/>
        </w:rPr>
        <w:t>Fixed Amount Details:</w:t>
      </w:r>
    </w:p>
    <w:p>
      <w:pPr>
        <w:pStyle w:val="Normal"/>
        <w:rPr>
          <w:b/>
          <w:sz w:val="20"/>
        </w:rPr>
      </w:pPr>
      <w:r>
        <w:rPr>
          <w:b/>
          <w:sz w:val="20"/>
        </w:rPr>
      </w:r>
    </w:p>
    <w:p>
      <w:pPr>
        <w:pStyle w:val="Normal"/>
        <w:jc w:val="both"/>
        <w:rPr>
          <w:sz w:val="20"/>
        </w:rPr>
      </w:pPr>
      <w:r>
        <w:rPr>
          <w:sz w:val="20"/>
        </w:rPr>
        <w:tab/>
        <w:t>Fixed Price Payer: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t>ENA will prepay the Fixed Price of $7,360,000 on the Fixed Price Payment Date.</w:t>
            </w:r>
          </w:p>
          <w:p>
            <w:pPr>
              <w:pStyle w:val="Normal"/>
              <w:jc w:val="both"/>
              <w:rPr>
                <w:sz w:val="20"/>
              </w:rPr>
            </w:pPr>
            <w:r>
              <w:rPr>
                <w:sz w:val="20"/>
              </w:rPr>
            </w:r>
          </w:p>
        </w:tc>
      </w:tr>
      <w:tr>
        <w:trPr/>
        <w:tc>
          <w:tcPr>
            <w:tcW w:w="4338" w:type="dxa"/>
            <w:tcBorders/>
          </w:tcPr>
          <w:p>
            <w:pPr>
              <w:pStyle w:val="Normal"/>
              <w:ind w:start="720" w:end="0"/>
              <w:rPr>
                <w:sz w:val="20"/>
              </w:rPr>
            </w:pPr>
            <w:r>
              <w:rPr>
                <w:sz w:val="20"/>
              </w:rPr>
              <w:t>Fixed Price Payment Date:</w:t>
            </w:r>
          </w:p>
        </w:tc>
        <w:tc>
          <w:tcPr>
            <w:tcW w:w="6102" w:type="dxa"/>
            <w:tcBorders/>
          </w:tcPr>
          <w:p>
            <w:pPr>
              <w:pStyle w:val="Normal"/>
              <w:jc w:val="both"/>
              <w:rPr>
                <w:sz w:val="20"/>
              </w:rPr>
            </w:pPr>
            <w:r>
              <w:rPr>
                <w:sz w:val="20"/>
              </w:rPr>
              <w:t>July 16, 2001</w:t>
            </w:r>
          </w:p>
        </w:tc>
      </w:tr>
    </w:tbl>
    <w:p>
      <w:pPr>
        <w:pStyle w:val="Normal"/>
        <w:rPr>
          <w:sz w:val="20"/>
        </w:rPr>
      </w:pPr>
      <w:r>
        <w:rPr>
          <w:sz w:val="20"/>
        </w:rPr>
        <w:tab/>
      </w:r>
    </w:p>
    <w:p>
      <w:pPr>
        <w:pStyle w:val="Normal"/>
        <w:rPr>
          <w:sz w:val="20"/>
        </w:rPr>
      </w:pPr>
      <w:r>
        <w:rPr>
          <w:sz w:val="20"/>
        </w:rPr>
      </w:r>
    </w:p>
    <w:p>
      <w:pPr>
        <w:pStyle w:val="Normal"/>
        <w:rPr>
          <w:b/>
          <w:sz w:val="20"/>
        </w:rPr>
      </w:pPr>
      <w:r>
        <w:rPr>
          <w:b/>
          <w:sz w:val="20"/>
        </w:rPr>
        <w:t>Floating Amount Details:</w:t>
      </w:r>
    </w:p>
    <w:p>
      <w:pPr>
        <w:pStyle w:val="Normal"/>
        <w:rPr>
          <w:b/>
          <w:sz w:val="20"/>
        </w:rPr>
      </w:pPr>
      <w:r>
        <w:rPr>
          <w:b/>
          <w:sz w:val="20"/>
        </w:rPr>
      </w:r>
    </w:p>
    <w:p>
      <w:pPr>
        <w:pStyle w:val="Normal"/>
        <w:jc w:val="both"/>
        <w:rPr>
          <w:sz w:val="20"/>
        </w:rPr>
      </w:pPr>
      <w:r>
        <w:rPr>
          <w:sz w:val="20"/>
        </w:rPr>
        <w:tab/>
        <w:t>Floating Price Payer: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t>The hourly-weighted average of (i) The average of  the daily day-ahead prices listed in the Dow Jones Mid-Columbia Electricity Price Index entitled “DJ-Mid C Daily Index:  Firm On-Peak:  Index” as published by Dow Jones Telerate (Telerate page 38424) for power during On-Peak Hours on a day that is a Monday through Saturday, excluding NERC Holidays, during the applicable Calculation Period, (ii) the average of the daily day-ahead prices listed in the Dow Jones Mid-Columbia Electricity Price Index entitled “DJ-Mid C Daily Index:  Firm Off-Peak:  Index” as published by Dow Jones Telerate (Telerate page 38424) for power during Off-Peak Hours on a day that is a Monday through Saturday, excluding NERC holidays, during the applicable Calculation Period and (iii ) the average of the daily day-ahead prices listed in the Dow Jones Mid-Columbia Electricity Price Index entitled the “DJ Mid-C Sunday 24 Hour Firm Index” as published by the Dow Jones Telerate (Telerate page 38424) for power during Off-Peak Hours on each day that is a Sunday or NERC holiday during the applicable Calculation Period.</w:t>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rPr>
                <w:sz w:val="20"/>
              </w:rPr>
            </w:pPr>
            <w:r>
              <w:rPr>
                <w:sz w:val="20"/>
              </w:rPr>
              <w:t>Floating Price Payment Dates:</w:t>
            </w:r>
          </w:p>
        </w:tc>
        <w:tc>
          <w:tcPr>
            <w:tcW w:w="6102" w:type="dxa"/>
            <w:tcBorders/>
          </w:tcPr>
          <w:p>
            <w:pPr>
              <w:pStyle w:val="Normal"/>
              <w:jc w:val="both"/>
              <w:rPr/>
            </w:pPr>
            <w:r>
              <w:rPr>
                <w:sz w:val="20"/>
              </w:rPr>
              <w:t>The fifth (5</w:t>
            </w:r>
            <w:r>
              <w:rPr>
                <w:sz w:val="20"/>
                <w:vertAlign w:val="superscript"/>
              </w:rPr>
              <w:t>th</w:t>
            </w:r>
            <w:r>
              <w:rPr>
                <w:sz w:val="20"/>
              </w:rPr>
              <w:t>) Business Day following the date on which the Floating Price is determinable.</w:t>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rPr>
                <w:sz w:val="20"/>
              </w:rPr>
            </w:pPr>
            <w:r>
              <w:rPr>
                <w:sz w:val="20"/>
              </w:rPr>
              <w:t>Rounding Convention:</w:t>
            </w:r>
          </w:p>
        </w:tc>
        <w:tc>
          <w:tcPr>
            <w:tcW w:w="6102" w:type="dxa"/>
            <w:tcBorders/>
          </w:tcPr>
          <w:p>
            <w:pPr>
              <w:pStyle w:val="Normal"/>
              <w:jc w:val="both"/>
              <w:rPr>
                <w:sz w:val="20"/>
              </w:rPr>
            </w:pPr>
            <w:r>
              <w:rPr>
                <w:sz w:val="20"/>
              </w:rPr>
              <w:fldChar w:fldCharType="begin"/>
            </w:r>
            <w:r>
              <w:rPr>
                <w:sz w:val="20"/>
              </w:rPr>
              <w:instrText xml:space="preserve"> MERGEFIELD Rounding </w:instrText>
            </w:r>
            <w:r>
              <w:rPr>
                <w:sz w:val="20"/>
              </w:rPr>
              <w:fldChar w:fldCharType="separate"/>
            </w:r>
            <w:r>
              <w:rPr>
                <w:sz w:val="20"/>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0"/>
              </w:rPr>
              <w:fldChar w:fldCharType="end"/>
            </w:r>
          </w:p>
        </w:tc>
      </w:tr>
    </w:tbl>
    <w:p>
      <w:pPr>
        <w:pStyle w:val="Normal"/>
        <w:jc w:val="both"/>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(Local Currency-Single Jurisdiction)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Eligible Swap Participant</w:t>
      </w:r>
      <w:r>
        <w:rPr>
          <w:sz w:val="20"/>
        </w:rPr>
        <w:t xml:space="preserve">: it constitutes an “eligible swap participant” as such term is defined in  17 C.F.R. Section 35.1(b)(2) and this Confirmation constitutes a “swap agreement” within the meaning of 17 C.F.R. Section 35.1(b)(1); and (c) </w:t>
      </w:r>
      <w:r>
        <w:rPr>
          <w:sz w:val="20"/>
          <w:u w:val="single"/>
        </w:rPr>
        <w:t>Line of Business</w:t>
      </w:r>
      <w:r>
        <w:rPr>
          <w:sz w:val="2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11(b)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Index1"/>
        <w:rPr>
          <w:rFonts w:ascii="Times New Roman" w:hAnsi="Times New Roman" w:cs="Times New Roman"/>
          <w:sz w:val="20"/>
        </w:rPr>
      </w:pPr>
      <w:r>
        <w:rPr>
          <w:rFonts w:cs="Times New Roman" w:ascii="Times New Roman" w:hAnsi="Times New Roman"/>
          <w:sz w:val="20"/>
        </w:rPr>
      </w:r>
    </w:p>
    <w:p>
      <w:pPr>
        <w:pStyle w:val="Normal"/>
        <w:jc w:val="both"/>
        <w:rPr/>
      </w:pPr>
      <w:r>
        <w:rPr>
          <w:sz w:val="20"/>
        </w:rPr>
        <w:t>12.</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ind w:hanging="720" w:start="1440" w:end="0"/>
        <w:jc w:val="both"/>
        <w:rPr/>
      </w:pPr>
      <w:r>
        <w:rPr>
          <w:sz w:val="20"/>
        </w:rPr>
        <w:t>(i)</w:t>
        <w:tab/>
      </w:r>
      <w:r>
        <w:rPr>
          <w:b/>
          <w:sz w:val="20"/>
        </w:rPr>
        <w:t>Non-Speculation.</w:t>
      </w:r>
      <w:r>
        <w:rPr>
          <w:sz w:val="20"/>
        </w:rPr>
        <w:t xml:space="preserve">  This Agreement and each Transaction has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ind w:hanging="720" w:start="1440" w:end="0"/>
        <w:jc w:val="both"/>
        <w:rPr>
          <w:sz w:val="20"/>
        </w:rPr>
      </w:pPr>
      <w:r>
        <w:rPr>
          <w:sz w:val="20"/>
        </w:rPr>
      </w:r>
    </w:p>
    <w:p>
      <w:pPr>
        <w:pStyle w:val="Normal"/>
        <w:ind w:hanging="720" w:start="1440" w:end="0"/>
        <w:jc w:val="both"/>
        <w:rPr/>
      </w:pPr>
      <w:r>
        <w:rPr>
          <w:sz w:val="20"/>
        </w:rPr>
        <w:t>(ii)</w:t>
        <w:tab/>
      </w:r>
      <w:r>
        <w:rPr>
          <w:b/>
          <w:sz w:val="20"/>
        </w:rPr>
        <w:t>No Immunity.</w:t>
      </w:r>
      <w:r>
        <w:rPr>
          <w:sz w:val="20"/>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 w:val="20"/>
        </w:rPr>
      </w:pPr>
      <w:r>
        <w:rPr>
          <w:sz w:val="20"/>
        </w:rPr>
      </w:r>
    </w:p>
    <w:p>
      <w:pPr>
        <w:pStyle w:val="Normal"/>
        <w:ind w:hanging="720" w:start="1440" w:end="0"/>
        <w:jc w:val="both"/>
        <w:rPr/>
      </w:pPr>
      <w:r>
        <w:rPr>
          <w:sz w:val="20"/>
        </w:rPr>
        <w:t>(iii)</w:t>
        <w:tab/>
      </w:r>
      <w:r>
        <w:rPr>
          <w:b/>
          <w:sz w:val="20"/>
        </w:rPr>
        <w:t>Legal Investment.</w:t>
      </w:r>
      <w:r>
        <w:rPr>
          <w:sz w:val="20"/>
        </w:rPr>
        <w:t xml:space="preserve">  This Agreement and each Transaction hereunder do not constitute any kind of investment by Counterparty that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ind w:hanging="720" w:start="1440" w:end="0"/>
        <w:jc w:val="both"/>
        <w:rPr>
          <w:sz w:val="20"/>
        </w:rPr>
      </w:pPr>
      <w:r>
        <w:rPr>
          <w:sz w:val="20"/>
        </w:rPr>
      </w:r>
    </w:p>
    <w:p>
      <w:pPr>
        <w:pStyle w:val="Normal"/>
        <w:ind w:hanging="720" w:start="1440" w:end="0"/>
        <w:jc w:val="both"/>
        <w:rPr/>
      </w:pPr>
      <w:r>
        <w:rPr>
          <w:sz w:val="20"/>
        </w:rPr>
        <w:t>(iv)</w:t>
        <w:tab/>
      </w:r>
      <w:r>
        <w:rPr>
          <w:b/>
          <w:sz w:val="20"/>
        </w:rPr>
        <w:t>Assets of Counterparty.</w:t>
      </w:r>
      <w:r>
        <w:rPr>
          <w:sz w:val="20"/>
        </w:rPr>
        <w:t xml:space="preserve">  No Affiliate or other person, firm, corporation, entity or association may liquidate, borrow, encumber or otherwise utilize the assets (including without limitation the source of funds) of Counterparty.</w:t>
      </w:r>
    </w:p>
    <w:p>
      <w:pPr>
        <w:pStyle w:val="Normal"/>
        <w:ind w:hanging="720" w:start="1440" w:end="0"/>
        <w:jc w:val="both"/>
        <w:rPr>
          <w:sz w:val="20"/>
        </w:rPr>
      </w:pPr>
      <w:r>
        <w:rPr>
          <w:sz w:val="20"/>
        </w:rPr>
      </w:r>
    </w:p>
    <w:p>
      <w:pPr>
        <w:pStyle w:val="Normal"/>
        <w:ind w:hanging="720" w:start="1440" w:end="0"/>
        <w:jc w:val="both"/>
        <w:rPr/>
      </w:pPr>
      <w:r>
        <w:rPr>
          <w:sz w:val="20"/>
        </w:rPr>
        <w:t>(v)</w:t>
        <w:tab/>
      </w:r>
      <w:r>
        <w:rPr>
          <w:b/>
          <w:sz w:val="20"/>
        </w:rPr>
        <w:t>Organization.</w:t>
      </w:r>
      <w:r>
        <w:rPr>
          <w:sz w:val="20"/>
        </w:rPr>
        <w:t xml:space="preserve">  Counterparty is a state or political subdivision thereof, or an instrumentality, agency or department of either of the foregoing.</w:t>
      </w:r>
    </w:p>
    <w:p>
      <w:pPr>
        <w:pStyle w:val="Normal"/>
        <w:ind w:hanging="720" w:start="1440" w:end="0"/>
        <w:jc w:val="both"/>
        <w:rPr>
          <w:sz w:val="20"/>
        </w:rPr>
      </w:pPr>
      <w:r>
        <w:rPr>
          <w:sz w:val="20"/>
        </w:rPr>
      </w:r>
    </w:p>
    <w:p>
      <w:pPr>
        <w:pStyle w:val="Normal"/>
        <w:ind w:hanging="720" w:start="1440" w:end="0"/>
        <w:jc w:val="both"/>
        <w:rPr/>
      </w:pPr>
      <w:r>
        <w:rPr>
          <w:sz w:val="20"/>
        </w:rPr>
        <w:t>(vi)</w:t>
        <w:tab/>
      </w:r>
      <w:r>
        <w:rPr>
          <w:b/>
          <w:sz w:val="20"/>
        </w:rPr>
        <w:t>Investment Policies.</w:t>
      </w:r>
      <w:r>
        <w:rPr>
          <w:sz w:val="20"/>
        </w:rPr>
        <w:t xml:space="preserve">  It has clear investment policies, its personnel are fully trained in and knowledgeable of such investment policies, and such investment policies are subject to regular reviews.</w:t>
      </w:r>
    </w:p>
    <w:p>
      <w:pPr>
        <w:pStyle w:val="Normal"/>
        <w:ind w:hanging="720" w:start="1440" w:end="0"/>
        <w:jc w:val="both"/>
        <w:rPr>
          <w:sz w:val="20"/>
        </w:rPr>
      </w:pPr>
      <w:r>
        <w:rPr>
          <w:sz w:val="20"/>
        </w:rPr>
      </w:r>
    </w:p>
    <w:p>
      <w:pPr>
        <w:pStyle w:val="Normal"/>
        <w:ind w:hanging="720" w:start="1440" w:end="0"/>
        <w:jc w:val="both"/>
        <w:rPr/>
      </w:pPr>
      <w:r>
        <w:rPr>
          <w:sz w:val="20"/>
        </w:rPr>
        <w:t>(vii)</w:t>
        <w:tab/>
      </w:r>
      <w:r>
        <w:rPr>
          <w:b/>
          <w:sz w:val="20"/>
        </w:rPr>
        <w:t>Nature of Obligations.</w:t>
      </w:r>
      <w:r>
        <w:rPr>
          <w:sz w:val="20"/>
        </w:rPr>
        <w:t xml:space="preserve">  The obligations of Counterparty to make payments to ENA under this Agreement and each Transaction (a) are not subject to appropriation or similar action and (b) do not (1) constitute any kind of indebtedness of Counterparty or (2) create any kind of lien on or security interest in any property or revenues of Counterparty which, in either case (1) or (2),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ind w:hanging="720" w:start="1440" w:end="0"/>
        <w:jc w:val="both"/>
        <w:rPr>
          <w:sz w:val="20"/>
        </w:rPr>
      </w:pPr>
      <w:r>
        <w:rPr>
          <w:sz w:val="20"/>
        </w:rPr>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sz w:val="20"/>
        </w:rPr>
      </w:pPr>
      <w:r>
        <w:rPr>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certified copies of its: (i) charter, enabling statutes, and constitution or comparable legislation, creating or authorizing it, (ii) bylaws, (iii) other charter and constituent instruments, and (iv) investment policies, guidelines or restrictions. </w:t>
      </w:r>
    </w:p>
    <w:p>
      <w:pPr>
        <w:pStyle w:val="Normal"/>
        <w:jc w:val="both"/>
        <w:rPr>
          <w:sz w:val="20"/>
        </w:rPr>
      </w:pPr>
      <w:r>
        <w:rPr>
          <w:sz w:val="20"/>
        </w:rPr>
      </w:r>
    </w:p>
    <w:p>
      <w:pPr>
        <w:pStyle w:val="Normal"/>
        <w:jc w:val="both"/>
        <w:rPr/>
      </w:pPr>
      <w:r>
        <w:rPr>
          <w:sz w:val="20"/>
        </w:rPr>
        <w:t xml:space="preserve">13.  </w:t>
      </w:r>
      <w:r>
        <w:rPr>
          <w:b/>
          <w:sz w:val="20"/>
          <w:u w:val="single"/>
        </w:rPr>
        <w:t>Agreements</w:t>
      </w:r>
    </w:p>
    <w:p>
      <w:pPr>
        <w:pStyle w:val="Level3"/>
        <w:numPr>
          <w:ilvl w:val="0"/>
          <w:numId w:val="0"/>
        </w:numPr>
        <w:tabs>
          <w:tab w:val="left" w:pos="-1440" w:leader="none"/>
          <w:tab w:val="left" w:pos="720" w:leader="none"/>
          <w:tab w:val="left" w:pos="1440" w:leader="none"/>
          <w:tab w:val="left" w:pos="2160" w:leader="none"/>
        </w:tabs>
        <w:ind w:hanging="0" w:start="0"/>
        <w:rPr>
          <w:sz w:val="20"/>
        </w:rPr>
      </w:pPr>
      <w:r>
        <w:rPr>
          <w:sz w:val="20"/>
        </w:rPr>
        <w:t>(1) The introductory clause of Section 4 of the ISDA Agreement is hereby amended to read in its entirety as follows:--</w:t>
      </w:r>
    </w:p>
    <w:p>
      <w:pPr>
        <w:pStyle w:val="Normal"/>
        <w:ind w:start="720" w:end="0"/>
        <w:rPr>
          <w:sz w:val="20"/>
        </w:rPr>
      </w:pPr>
      <w:r>
        <w:rPr>
          <w:sz w:val="20"/>
        </w:rPr>
      </w:r>
    </w:p>
    <w:p>
      <w:pPr>
        <w:pStyle w:val="Normal"/>
        <w:ind w:start="720" w:end="0"/>
        <w:rPr>
          <w:sz w:val="20"/>
        </w:rPr>
      </w:pPr>
      <w:r>
        <w:rPr>
          <w:sz w:val="20"/>
        </w:rPr>
        <w:t xml:space="preserve">"Each party agrees with the other (or, in the case of Section 4(d) the Government Entity agrees with the other party) that, so long as either party has or may have any obligation under this Agreement or under any Credit Support Documents to which it is a party: " </w:t>
        <w:tab/>
      </w:r>
    </w:p>
    <w:p>
      <w:pPr>
        <w:pStyle w:val="Normal"/>
        <w:ind w:start="720" w:end="0"/>
        <w:rPr>
          <w:sz w:val="20"/>
        </w:rPr>
      </w:pPr>
      <w:r>
        <w:rPr>
          <w:sz w:val="20"/>
        </w:rPr>
      </w:r>
    </w:p>
    <w:p>
      <w:pPr>
        <w:pStyle w:val="Normal"/>
        <w:ind w:start="720" w:end="0"/>
        <w:rPr>
          <w:sz w:val="20"/>
        </w:rPr>
      </w:pPr>
      <w:r>
        <w:rPr>
          <w:sz w:val="20"/>
        </w:rPr>
        <w:t>(ii)</w:t>
        <w:tab/>
        <w:t>Section 4 of this Agreement is hereby amended by adding the following</w:t>
      </w:r>
    </w:p>
    <w:p>
      <w:pPr>
        <w:pStyle w:val="Normal"/>
        <w:ind w:start="720" w:end="0"/>
        <w:rPr>
          <w:sz w:val="20"/>
        </w:rPr>
      </w:pPr>
      <w:r>
        <w:rPr>
          <w:sz w:val="20"/>
        </w:rPr>
        <w:t>subsections "(d)" and "(e)" thereto:--</w:t>
      </w:r>
    </w:p>
    <w:p>
      <w:pPr>
        <w:pStyle w:val="Normal"/>
        <w:ind w:start="720" w:end="0"/>
        <w:rPr>
          <w:sz w:val="20"/>
        </w:rPr>
      </w:pPr>
      <w:r>
        <w:rPr>
          <w:sz w:val="20"/>
        </w:rPr>
      </w:r>
    </w:p>
    <w:p>
      <w:pPr>
        <w:pStyle w:val="Normal"/>
        <w:ind w:start="720" w:end="0"/>
        <w:rPr/>
      </w:pPr>
      <w:r>
        <w:rPr>
          <w:sz w:val="20"/>
        </w:rPr>
        <w:t>“</w:t>
      </w:r>
      <w:r>
        <w:rPr>
          <w:sz w:val="20"/>
        </w:rPr>
        <w:t xml:space="preserve">(d) </w:t>
      </w:r>
      <w:r>
        <w:rPr>
          <w:b/>
          <w:sz w:val="20"/>
        </w:rPr>
        <w:t xml:space="preserve">Notice of Incipient Illegality.  </w:t>
      </w:r>
      <w:r>
        <w:rPr>
          <w:sz w:val="20"/>
        </w:rPr>
        <w:t>If an Incipient Illegality occurs, the</w:t>
      </w:r>
    </w:p>
    <w:p>
      <w:pPr>
        <w:pStyle w:val="Normal"/>
        <w:ind w:start="720" w:end="0"/>
        <w:rPr>
          <w:sz w:val="20"/>
        </w:rPr>
      </w:pPr>
      <w:r>
        <w:rPr>
          <w:sz w:val="20"/>
        </w:rPr>
        <w:t xml:space="preserve"> </w:t>
      </w:r>
      <w:r>
        <w:rPr>
          <w:sz w:val="20"/>
        </w:rPr>
        <w:t>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ind w:start="720" w:end="0"/>
        <w:rPr>
          <w:sz w:val="20"/>
        </w:rPr>
      </w:pPr>
      <w:r>
        <w:rPr>
          <w:sz w:val="20"/>
        </w:rPr>
      </w:r>
    </w:p>
    <w:p>
      <w:pPr>
        <w:pStyle w:val="Normal"/>
        <w:ind w:start="720" w:end="0"/>
        <w:jc w:val="both"/>
        <w:rPr/>
      </w:pPr>
      <w:r>
        <w:rPr>
          <w:sz w:val="20"/>
        </w:rPr>
        <w:t xml:space="preserve">(e) </w:t>
        <w:tab/>
      </w:r>
      <w:r>
        <w:rPr>
          <w:b/>
          <w:sz w:val="20"/>
        </w:rPr>
        <w:t>Source of Payments.</w:t>
      </w:r>
      <w:r>
        <w:rPr>
          <w:sz w:val="20"/>
        </w:rPr>
        <w:t xml:space="preserve">  Counterparty agrees that its obligations hereunder are, and until the termination of this Agreement pursuant to the terms hereof shall remain, payable solely out of or from </w:t>
      </w:r>
      <w:r>
        <w:rPr>
          <w:i/>
          <w:sz w:val="20"/>
        </w:rPr>
        <w:t>[specify source of payments]</w:t>
      </w:r>
      <w:r>
        <w:rPr>
          <w:sz w:val="20"/>
        </w:rPr>
        <w:t>”</w:t>
      </w:r>
    </w:p>
    <w:p>
      <w:pPr>
        <w:pStyle w:val="Normal"/>
        <w:ind w:start="1440" w:end="0"/>
        <w:rPr>
          <w:sz w:val="20"/>
        </w:rPr>
      </w:pPr>
      <w:r>
        <w:rPr>
          <w:sz w:val="20"/>
        </w:rPr>
      </w:r>
    </w:p>
    <w:p>
      <w:pPr>
        <w:pStyle w:val="Level1"/>
        <w:numPr>
          <w:ilvl w:val="0"/>
          <w:numId w:val="0"/>
        </w:numPr>
        <w:tabs>
          <w:tab w:val="clear" w:pos="720"/>
          <w:tab w:val="left" w:pos="-1440" w:leader="none"/>
        </w:tabs>
        <w:ind w:hanging="720" w:start="720" w:end="0"/>
        <w:rPr/>
      </w:pPr>
      <w:r>
        <w:rPr>
          <w:sz w:val="20"/>
        </w:rPr>
        <w:t>14.</w:t>
        <w:tab/>
      </w:r>
      <w:r>
        <w:rPr>
          <w:b/>
          <w:sz w:val="20"/>
        </w:rPr>
        <w:t>Definitions.</w:t>
      </w:r>
      <w:r>
        <w:rPr>
          <w:sz w:val="20"/>
        </w:rPr>
        <w:t xml:space="preserve"> Section 12 of the ISDA Agreement is hereby amended to add or replace the following definitions in their appropriate alphabetical order:--</w:t>
      </w:r>
    </w:p>
    <w:p>
      <w:pPr>
        <w:pStyle w:val="Normal"/>
        <w:rPr>
          <w:sz w:val="20"/>
        </w:rPr>
      </w:pPr>
      <w:r>
        <w:rPr>
          <w:sz w:val="20"/>
        </w:rPr>
      </w:r>
    </w:p>
    <w:p>
      <w:pPr>
        <w:pStyle w:val="Normal"/>
        <w:ind w:hanging="720" w:start="1440" w:end="0"/>
        <w:rPr/>
      </w:pPr>
      <w:r>
        <w:rPr>
          <w:sz w:val="20"/>
        </w:rPr>
        <w:t>1.</w:t>
        <w:tab/>
      </w:r>
      <w:r>
        <w:rPr>
          <w:b/>
          <w:sz w:val="20"/>
        </w:rPr>
        <w:t>“Incipient Illegality”</w:t>
      </w:r>
      <w:r>
        <w:rPr>
          <w:sz w:val="20"/>
        </w:rPr>
        <w:t xml:space="preserve"> means (a) the enactment by any legislative body 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on the effect that performance under this Agreement or similar agreement s is unlawful or (c) the occurrence with respect to a Government Entity or any Credit Support Provider of such Government Entity of any event that constitutes an Illegality.</w:t>
      </w:r>
      <w:r>
        <w:rPr>
          <w:b/>
          <w:sz w:val="20"/>
        </w:rPr>
        <w:t>”</w:t>
      </w:r>
      <w:r>
        <w:rPr>
          <w:sz w:val="20"/>
        </w:rPr>
        <w:t xml:space="preserve">  </w:t>
      </w:r>
    </w:p>
    <w:p>
      <w:pPr>
        <w:pStyle w:val="Normal"/>
        <w:ind w:hanging="720" w:start="1440" w:end="0"/>
        <w:rPr>
          <w:sz w:val="20"/>
        </w:rPr>
      </w:pPr>
      <w:r>
        <w:rPr>
          <w:sz w:val="20"/>
        </w:rPr>
      </w:r>
    </w:p>
    <w:p>
      <w:pPr>
        <w:pStyle w:val="Normal"/>
        <w:ind w:hanging="720" w:start="1440" w:end="0"/>
        <w:rPr/>
      </w:pPr>
      <w:r>
        <w:rPr>
          <w:sz w:val="20"/>
        </w:rPr>
        <w:t>2.</w:t>
        <w:tab/>
      </w:r>
      <w:r>
        <w:rPr>
          <w:b/>
          <w:sz w:val="20"/>
        </w:rPr>
        <w:t xml:space="preserve">"Government Entity" </w:t>
      </w:r>
      <w:r>
        <w:rPr>
          <w:sz w:val="20"/>
        </w:rPr>
        <w:t>means Counterparty.</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15.</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500 East Foruth Avenue, Eugene, Oregon 97440, Attention: Scott Spettal, Facsimile No. (541) 341-1889.</w:t>
      </w:r>
    </w:p>
    <w:p>
      <w:pPr>
        <w:pStyle w:val="Normal"/>
        <w:jc w:val="both"/>
        <w:rPr>
          <w:sz w:val="20"/>
        </w:rPr>
      </w:pPr>
      <w:r>
        <w:rPr>
          <w:sz w:val="20"/>
        </w:rPr>
      </w:r>
    </w:p>
    <w:p>
      <w:pPr>
        <w:pStyle w:val="Normal"/>
        <w:keepNext w:val="true"/>
        <w:jc w:val="both"/>
        <w:rPr>
          <w:color w:val="FF0000"/>
          <w:sz w:val="20"/>
        </w:rPr>
      </w:pPr>
      <w:r>
        <w:rPr>
          <w:color w:val="FF0000"/>
          <w:sz w:val="20"/>
        </w:rPr>
      </w:r>
    </w:p>
    <w:p>
      <w:pPr>
        <w:pStyle w:val="Normal"/>
        <w:jc w:val="both"/>
        <w:rPr/>
      </w:pPr>
      <w:r>
        <w:rPr>
          <w:sz w:val="20"/>
        </w:rPr>
        <w:t>16.</w:t>
        <w:tab/>
      </w:r>
      <w:r>
        <w:rPr>
          <w:b/>
          <w:sz w:val="20"/>
          <w:u w:val="single"/>
        </w:rPr>
        <w:t>Additional Provisions For Commodity Derivatives Transactions</w:t>
      </w:r>
      <w:r>
        <w:rPr>
          <w:b/>
          <w:sz w:val="20"/>
        </w:rPr>
        <w:t>.</w:t>
      </w:r>
    </w:p>
    <w:p>
      <w:pPr>
        <w:pStyle w:val="Justified"/>
        <w:tabs>
          <w:tab w:val="clear" w:pos="720"/>
          <w:tab w:val="left" w:pos="1350" w:leader="none"/>
        </w:tabs>
        <w:spacing w:before="0" w:after="0"/>
        <w:rPr>
          <w:rFonts w:ascii="Times New Roman" w:hAnsi="Times New Roman" w:cs="Times New Roman"/>
          <w:b/>
          <w:sz w:val="20"/>
        </w:rPr>
      </w:pPr>
      <w:r>
        <w:rPr>
          <w:rFonts w:cs="Times New Roman" w:ascii="Times New Roman" w:hAnsi="Times New Roman"/>
          <w:b/>
          <w:sz w:val="20"/>
        </w:rPr>
      </w:r>
    </w:p>
    <w:p>
      <w:pPr>
        <w:pStyle w:val="Normal"/>
        <w:ind w:firstLine="720" w:end="0"/>
        <w:jc w:val="both"/>
        <w:rPr>
          <w:sz w:val="20"/>
        </w:rPr>
      </w:pPr>
      <w:r>
        <w:rPr>
          <w:sz w:val="20"/>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Paragraph 5 that are not otherwise defined shall have the meanings given to them in the Commodity Definitions.</w:t>
      </w:r>
    </w:p>
    <w:p>
      <w:pPr>
        <w:pStyle w:val="Normal"/>
        <w:ind w:firstLine="720" w:end="0"/>
        <w:jc w:val="both"/>
        <w:rPr>
          <w:sz w:val="20"/>
        </w:rPr>
      </w:pPr>
      <w:r>
        <w:rPr>
          <w:sz w:val="20"/>
        </w:rPr>
      </w:r>
    </w:p>
    <w:p>
      <w:pPr>
        <w:pStyle w:val="Normal"/>
        <w:ind w:firstLine="720" w:end="0"/>
        <w:jc w:val="both"/>
        <w:rPr>
          <w:sz w:val="20"/>
        </w:rPr>
      </w:pPr>
      <w:r>
        <w:rPr>
          <w:sz w:val="20"/>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0"/>
        </w:rPr>
      </w:pPr>
      <w:r>
        <w:rPr>
          <w:sz w:val="20"/>
        </w:rPr>
      </w:r>
    </w:p>
    <w:p>
      <w:pPr>
        <w:pStyle w:val="Normal"/>
        <w:ind w:firstLine="720" w:end="0"/>
        <w:jc w:val="both"/>
        <w:rPr>
          <w:sz w:val="20"/>
        </w:rPr>
      </w:pPr>
      <w:r>
        <w:rPr>
          <w:sz w:val="20"/>
        </w:rPr>
        <w:t>(c)</w:t>
        <w:tab/>
        <w:t>Section 7.4(c)(viii) of the Commodity Definitions is hereby amended by the addition of the following at the end thereof:</w:t>
      </w:r>
    </w:p>
    <w:p>
      <w:pPr>
        <w:pStyle w:val="Normal"/>
        <w:ind w:firstLine="720" w:end="0"/>
        <w:jc w:val="both"/>
        <w:rPr>
          <w:sz w:val="20"/>
        </w:rPr>
      </w:pPr>
      <w:r>
        <w:rPr>
          <w:sz w:val="20"/>
        </w:rPr>
      </w:r>
    </w:p>
    <w:p>
      <w:pPr>
        <w:pStyle w:val="Normal"/>
        <w:ind w:firstLine="720" w:start="720" w:end="0"/>
        <w:jc w:val="both"/>
        <w:rPr>
          <w:sz w:val="20"/>
        </w:rPr>
      </w:pPr>
      <w:r>
        <w:rPr>
          <w:sz w:val="20"/>
        </w:rPr>
        <w:t>“</w:t>
      </w:r>
      <w:r>
        <w:rPr>
          <w:sz w:val="20"/>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0"/>
        </w:rPr>
      </w:pPr>
      <w:r>
        <w:rPr>
          <w:sz w:val="20"/>
        </w:rPr>
      </w:r>
    </w:p>
    <w:p>
      <w:pPr>
        <w:pStyle w:val="Normal"/>
        <w:ind w:firstLine="720" w:end="0"/>
        <w:jc w:val="both"/>
        <w:rPr>
          <w:sz w:val="20"/>
        </w:rPr>
      </w:pPr>
      <w:r>
        <w:rPr>
          <w:sz w:val="20"/>
        </w:rPr>
        <w:t>(d)</w:t>
        <w:tab/>
        <w:t>Section 7.5(e) of the Commodity Definitions is hereby deleted.</w:t>
      </w:r>
    </w:p>
    <w:p>
      <w:pPr>
        <w:pStyle w:val="Normal"/>
        <w:ind w:firstLine="720" w:end="0"/>
        <w:jc w:val="both"/>
        <w:rPr>
          <w:sz w:val="20"/>
        </w:rPr>
      </w:pPr>
      <w:r>
        <w:rPr>
          <w:sz w:val="20"/>
        </w:rPr>
      </w:r>
    </w:p>
    <w:p>
      <w:pPr>
        <w:pStyle w:val="Normal"/>
        <w:ind w:firstLine="720" w:end="0"/>
        <w:jc w:val="both"/>
        <w:rPr>
          <w:sz w:val="20"/>
        </w:rPr>
      </w:pPr>
      <w:r>
        <w:rPr>
          <w:sz w:val="20"/>
        </w:rPr>
        <w:t>(e)</w:t>
        <w:tab/>
        <w:t>“Additional Market Disruption Events” shall apply only if so specified in the relevant Confirmation.</w:t>
      </w:r>
    </w:p>
    <w:p>
      <w:pPr>
        <w:pStyle w:val="Normal"/>
        <w:ind w:firstLine="720" w:end="0"/>
        <w:jc w:val="both"/>
        <w:rPr>
          <w:sz w:val="20"/>
        </w:rPr>
      </w:pPr>
      <w:r>
        <w:rPr>
          <w:sz w:val="20"/>
        </w:rPr>
      </w:r>
    </w:p>
    <w:p>
      <w:pPr>
        <w:pStyle w:val="BodyTextIndent2"/>
        <w:rPr>
          <w:sz w:val="20"/>
        </w:rPr>
      </w:pPr>
      <w:r>
        <w:rPr>
          <w:sz w:val="20"/>
        </w:rPr>
        <w:t>(f)</w:t>
        <w:tab/>
        <w:t>The following “Disruption Fallbacks” specified in Section 7.5(c) of the Commodity Definitions shall apply, in the following order, except as otherwise specified in the relevant Confirmation:</w:t>
      </w:r>
    </w:p>
    <w:p>
      <w:pPr>
        <w:pStyle w:val="Normal"/>
        <w:jc w:val="both"/>
        <w:rPr>
          <w:sz w:val="20"/>
        </w:rPr>
      </w:pPr>
      <w:r>
        <w:rPr>
          <w:sz w:val="20"/>
        </w:rPr>
      </w:r>
    </w:p>
    <w:p>
      <w:pPr>
        <w:pStyle w:val="Normal"/>
        <w:ind w:firstLine="720" w:start="1440" w:end="720"/>
        <w:jc w:val="both"/>
        <w:rPr>
          <w:sz w:val="20"/>
        </w:rPr>
      </w:pPr>
      <w:r>
        <w:rPr>
          <w:sz w:val="20"/>
        </w:rPr>
        <w:t>(i)</w:t>
        <w:tab/>
        <w:t>“Postponement”, with three (3) Commodity Business Days as the Maximum Days of Disruption;</w:t>
      </w:r>
    </w:p>
    <w:p>
      <w:pPr>
        <w:pStyle w:val="Normal"/>
        <w:ind w:firstLine="720" w:start="1440" w:end="720"/>
        <w:jc w:val="both"/>
        <w:rPr>
          <w:sz w:val="20"/>
        </w:rPr>
      </w:pPr>
      <w:r>
        <w:rPr>
          <w:sz w:val="20"/>
        </w:rPr>
      </w:r>
    </w:p>
    <w:p>
      <w:pPr>
        <w:pStyle w:val="Normal"/>
        <w:ind w:firstLine="720" w:start="1440" w:end="720"/>
        <w:jc w:val="both"/>
        <w:rPr>
          <w:sz w:val="20"/>
        </w:rPr>
      </w:pPr>
      <w:r>
        <w:rPr>
          <w:sz w:val="20"/>
        </w:rPr>
        <w:t>(ii)</w:t>
        <w:tab/>
        <w:t>“Fallback Reference Price” (if the relevant parties have specified an alternate Commodity Reference Price in the Confirmation);</w:t>
      </w:r>
    </w:p>
    <w:p>
      <w:pPr>
        <w:pStyle w:val="Normal"/>
        <w:ind w:firstLine="720" w:start="1440" w:end="720"/>
        <w:jc w:val="both"/>
        <w:rPr>
          <w:sz w:val="20"/>
        </w:rPr>
      </w:pPr>
      <w:r>
        <w:rPr>
          <w:sz w:val="20"/>
        </w:rPr>
      </w:r>
    </w:p>
    <w:p>
      <w:pPr>
        <w:pStyle w:val="Normal"/>
        <w:ind w:firstLine="720" w:start="1440" w:end="720"/>
        <w:jc w:val="both"/>
        <w:rPr>
          <w:sz w:val="20"/>
        </w:rPr>
      </w:pPr>
      <w:r>
        <w:rPr>
          <w:sz w:val="20"/>
        </w:rPr>
        <w:t>(iii)</w:t>
        <w:tab/>
        <w:t>“Negotiated Fallback” (provided that the reference in Section 7.5(c)(ii) to “fifth Business Day” shall be amended to be “twelfth Business Day”); and</w:t>
      </w:r>
    </w:p>
    <w:p>
      <w:pPr>
        <w:pStyle w:val="Normal"/>
        <w:ind w:firstLine="720" w:start="1440" w:end="720"/>
        <w:jc w:val="both"/>
        <w:rPr>
          <w:sz w:val="20"/>
        </w:rPr>
      </w:pPr>
      <w:r>
        <w:rPr>
          <w:sz w:val="20"/>
        </w:rPr>
      </w:r>
    </w:p>
    <w:p>
      <w:pPr>
        <w:pStyle w:val="Normal"/>
        <w:keepNext w:val="true"/>
        <w:ind w:firstLine="720" w:start="1440" w:end="0"/>
        <w:jc w:val="both"/>
        <w:rPr>
          <w:sz w:val="20"/>
        </w:rPr>
      </w:pPr>
      <w:r>
        <w:rPr>
          <w:sz w:val="20"/>
        </w:rPr>
        <w:t>(iv)</w:t>
        <w:tab/>
        <w:t>The Relevant Price will be determined and calculated as set forth in the definition of “Commodity-Reference Dealers”, however, notwithstanding any reference to the number of Specified Prices in such definition, ENA shall obtain in good faith quotations from two (2) leading dealers in the relevant market and the price for that Pricing Date will be the arithmetic mean of the Specified Prices.</w:t>
      </w:r>
    </w:p>
    <w:p>
      <w:pPr>
        <w:pStyle w:val="Normal"/>
        <w:keepNext w:val="true"/>
        <w:jc w:val="both"/>
        <w:rPr>
          <w:color w:val="FF0000"/>
          <w:sz w:val="20"/>
        </w:rPr>
      </w:pPr>
      <w:r>
        <w:rPr>
          <w:color w:val="FF0000"/>
          <w:sz w:val="20"/>
        </w:rPr>
      </w:r>
    </w:p>
    <w:p>
      <w:pPr>
        <w:pStyle w:val="Normal"/>
        <w:keepNext w:val="true"/>
        <w:jc w:val="both"/>
        <w:rPr>
          <w:b/>
          <w:sz w:val="20"/>
          <w:u w:val="single"/>
        </w:rPr>
      </w:pPr>
      <w:r>
        <w:rPr>
          <w:sz w:val="20"/>
        </w:rPr>
        <w:t>17.</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Please promptly confirm that the foregoing correctly sets forth the terms of the Transaction entered into between us by executing the copy of this Confirmation and returning it to us within one Business Day of receipt hereof via Facsimile to (713) 646-2443, Attention:  Director, Documentation Dept.  A copy of the originally executed Confirmation should be sent to us by overnight delivery for receipt within two Business Days of receipt hereof.</w:t>
      </w:r>
    </w:p>
    <w:p>
      <w:pPr>
        <w:pStyle w:val="BodyText"/>
        <w:rPr>
          <w:rFonts w:ascii="Times New Roman" w:hAnsi="Times New Roman" w:cs="Times New Roman"/>
          <w:sz w:val="20"/>
        </w:rPr>
      </w:pPr>
      <w:r>
        <w:rPr>
          <w:rFonts w:cs="Times New Roman" w:ascii="Times New Roman" w:hAnsi="Times New Roman"/>
          <w:sz w:val="20"/>
        </w:rPr>
      </w:r>
    </w:p>
    <w:p>
      <w:pPr>
        <w:pStyle w:val="Normal"/>
        <w:jc w:val="both"/>
        <w:rPr>
          <w:sz w:val="20"/>
        </w:rPr>
      </w:pPr>
      <w:r>
        <w:rPr>
          <w:sz w:val="20"/>
        </w:rPr>
        <w:t>Enron North America Corp. is pleased to have entered into this Transaction with you.</w:t>
      </w:r>
    </w:p>
    <w:p>
      <w:pPr>
        <w:pStyle w:val="Normal"/>
        <w:jc w:val="both"/>
        <w:rPr>
          <w:sz w:val="20"/>
        </w:rPr>
      </w:pPr>
      <w:r>
        <w:rPr>
          <w:sz w:val="20"/>
        </w:rPr>
      </w:r>
    </w:p>
    <w:p>
      <w:pPr>
        <w:pStyle w:val="Normal"/>
        <w:rPr>
          <w:sz w:val="20"/>
        </w:rPr>
      </w:pPr>
      <w:r>
        <w:rPr>
          <w:sz w:val="20"/>
        </w:rPr>
        <w:t>Sincerely,</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0"/>
              </w:rPr>
            </w:pPr>
            <w:r>
              <w:rPr>
                <w:sz w:val="20"/>
              </w:rPr>
              <w:fldChar w:fldCharType="begin"/>
            </w:r>
            <w:r>
              <w:rPr>
                <w:sz w:val="20"/>
              </w:rPr>
              <w:instrText xml:space="preserve"> MERGEFIELD EnronEntityName </w:instrText>
            </w:r>
            <w:r>
              <w:rPr>
                <w:sz w:val="20"/>
              </w:rPr>
              <w:fldChar w:fldCharType="separate"/>
            </w:r>
            <w:r>
              <w:rPr>
                <w:sz w:val="20"/>
              </w:rPr>
              <w:t>Enron North America Corp.</w:t>
            </w:r>
            <w:r>
              <w:rPr>
                <w:sz w:val="20"/>
              </w:rPr>
              <w:fldChar w:fldCharType="end"/>
            </w:r>
          </w:p>
        </w:tc>
        <w:tc>
          <w:tcPr>
            <w:tcW w:w="6012" w:type="dxa"/>
            <w:tcBorders/>
          </w:tcPr>
          <w:p>
            <w:pPr>
              <w:pStyle w:val="Normal"/>
              <w:rPr>
                <w:sz w:val="20"/>
              </w:rPr>
            </w:pPr>
            <w:r>
              <w:rPr>
                <w:sz w:val="20"/>
              </w:rPr>
              <w:fldChar w:fldCharType="begin"/>
            </w:r>
            <w:r>
              <w:rPr>
                <w:sz w:val="20"/>
              </w:rPr>
              <w:instrText xml:space="preserve"> MERGEFIELD CounterpartyName </w:instrText>
            </w:r>
            <w:r>
              <w:rPr>
                <w:sz w:val="20"/>
              </w:rPr>
              <w:fldChar w:fldCharType="separate"/>
            </w:r>
            <w:r>
              <w:rPr>
                <w:sz w:val="20"/>
              </w:rPr>
              <w:t>Eugene Water &amp; Electric Board</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0"/>
              </w:rPr>
            </w:pPr>
            <w:r>
              <w:rPr>
                <w:sz w:val="20"/>
              </w:rPr>
              <w:t xml:space="preserve">             </w:t>
            </w:r>
            <w:r>
              <w:rPr>
                <w:sz w:val="20"/>
              </w:rPr>
              <w:fldChar w:fldCharType="begin"/>
            </w:r>
            <w:r>
              <w:rPr>
                <w:sz w:val="20"/>
              </w:rPr>
              <w:instrText xml:space="preserve"> MERGEFIELD SignatureGoesHere </w:instrText>
            </w:r>
            <w:r>
              <w:rPr>
                <w:sz w:val="20"/>
              </w:rPr>
              <w:fldChar w:fldCharType="separate"/>
            </w:r>
            <w:r>
              <w:rPr>
                <w:sz w:val="20"/>
              </w:rPr>
              <w:t xml:space="preserve"> </w:t>
              <w:br/>
            </w:r>
            <w:r>
              <w:rPr>
                <w:sz w:val="20"/>
              </w:rPr>
              <w:fldChar w:fldCharType="end"/>
            </w:r>
          </w:p>
        </w:tc>
        <w:tc>
          <w:tcPr>
            <w:tcW w:w="6012" w:type="dxa"/>
            <w:tcBorders/>
          </w:tcPr>
          <w:p>
            <w:pPr>
              <w:pStyle w:val="Normal"/>
              <w:snapToGrid w:val="false"/>
              <w:rPr>
                <w:sz w:val="20"/>
              </w:rPr>
            </w:pPr>
            <w:r>
              <w:rPr>
                <w:sz w:val="20"/>
              </w:rPr>
            </w:r>
          </w:p>
        </w:tc>
      </w:tr>
      <w:tr>
        <w:trPr/>
        <w:tc>
          <w:tcPr>
            <w:tcW w:w="4428" w:type="dxa"/>
            <w:tcBorders/>
          </w:tcPr>
          <w:p>
            <w:pPr>
              <w:pStyle w:val="Normal"/>
              <w:rPr>
                <w:sz w:val="20"/>
              </w:rPr>
            </w:pPr>
            <w:r>
              <w:rPr>
                <w:sz w:val="20"/>
              </w:rPr>
              <w:t>By:</w:t>
            </w:r>
          </w:p>
        </w:tc>
        <w:tc>
          <w:tcPr>
            <w:tcW w:w="6012" w:type="dxa"/>
            <w:tcBorders/>
          </w:tcPr>
          <w:p>
            <w:pPr>
              <w:pStyle w:val="Normal"/>
              <w:rPr>
                <w:sz w:val="20"/>
                <w:u w:val="single"/>
              </w:rPr>
            </w:pPr>
            <w:r>
              <w:rPr>
                <w:sz w:val="20"/>
              </w:rPr>
              <w:t>By: ____________________________</w:t>
            </w:r>
          </w:p>
        </w:tc>
      </w:tr>
      <w:tr>
        <w:trPr/>
        <w:tc>
          <w:tcPr>
            <w:tcW w:w="4428" w:type="dxa"/>
            <w:tcBorders/>
          </w:tcPr>
          <w:p>
            <w:pPr>
              <w:pStyle w:val="Normal"/>
              <w:rPr>
                <w:sz w:val="20"/>
              </w:rPr>
            </w:pPr>
            <w:r>
              <w:rPr>
                <w:sz w:val="20"/>
              </w:rPr>
              <w:t xml:space="preserve">Name:  </w:t>
            </w:r>
            <w:r>
              <w:rPr>
                <w:sz w:val="20"/>
              </w:rPr>
              <w:fldChar w:fldCharType="begin"/>
            </w:r>
            <w:r>
              <w:rPr>
                <w:sz w:val="20"/>
              </w:rPr>
              <w:instrText xml:space="preserve"> MERGEFIELD SignerName </w:instrText>
            </w:r>
            <w:r>
              <w:rPr>
                <w:sz w:val="20"/>
              </w:rPr>
              <w:fldChar w:fldCharType="separate"/>
            </w:r>
            <w:r>
              <w:rPr>
                <w:sz w:val="20"/>
              </w:rPr>
              <w:t>Tim Belden</w:t>
            </w:r>
            <w:r>
              <w:rPr>
                <w:sz w:val="20"/>
              </w:rPr>
              <w:fldChar w:fldCharType="end"/>
            </w:r>
          </w:p>
        </w:tc>
        <w:tc>
          <w:tcPr>
            <w:tcW w:w="6012" w:type="dxa"/>
            <w:tcBorders/>
          </w:tcPr>
          <w:p>
            <w:pPr>
              <w:pStyle w:val="Normal"/>
              <w:rPr>
                <w:sz w:val="20"/>
              </w:rPr>
            </w:pPr>
            <w:r>
              <w:rPr>
                <w:sz w:val="20"/>
              </w:rPr>
              <w:t>Name:  _________________________</w:t>
            </w:r>
          </w:p>
        </w:tc>
      </w:tr>
      <w:tr>
        <w:trPr/>
        <w:tc>
          <w:tcPr>
            <w:tcW w:w="4428" w:type="dxa"/>
            <w:tcBorders/>
          </w:tcPr>
          <w:p>
            <w:pPr>
              <w:pStyle w:val="Normal"/>
              <w:rPr>
                <w:sz w:val="20"/>
              </w:rPr>
            </w:pPr>
            <w:r>
              <w:rPr>
                <w:sz w:val="20"/>
              </w:rPr>
              <w:t xml:space="preserve">Title:    </w:t>
            </w:r>
            <w:r>
              <w:rPr>
                <w:sz w:val="20"/>
              </w:rPr>
              <w:fldChar w:fldCharType="begin"/>
            </w:r>
            <w:r>
              <w:rPr>
                <w:sz w:val="20"/>
              </w:rPr>
              <w:instrText xml:space="preserve"> MERGEFIELD SignerTitle </w:instrText>
            </w:r>
            <w:r>
              <w:rPr>
                <w:sz w:val="20"/>
              </w:rPr>
              <w:fldChar w:fldCharType="separate"/>
            </w:r>
            <w:r>
              <w:rPr>
                <w:sz w:val="20"/>
              </w:rPr>
              <w:t>Vice President</w:t>
            </w:r>
            <w:r>
              <w:rPr>
                <w:sz w:val="20"/>
              </w:rPr>
              <w:fldChar w:fldCharType="end"/>
            </w:r>
          </w:p>
        </w:tc>
        <w:tc>
          <w:tcPr>
            <w:tcW w:w="6012" w:type="dxa"/>
            <w:tcBorders/>
          </w:tcPr>
          <w:p>
            <w:pPr>
              <w:pStyle w:val="Normal"/>
              <w:rPr>
                <w:sz w:val="20"/>
              </w:rPr>
            </w:pPr>
            <w:r>
              <w:rPr>
                <w:sz w:val="20"/>
              </w:rPr>
              <w:t>Title:  __________________________</w:t>
            </w:r>
          </w:p>
        </w:tc>
      </w:tr>
      <w:tr>
        <w:trPr/>
        <w:tc>
          <w:tcPr>
            <w:tcW w:w="4428" w:type="dxa"/>
            <w:tcBorders/>
          </w:tcPr>
          <w:p>
            <w:pPr>
              <w:pStyle w:val="Normal"/>
              <w:rPr>
                <w:sz w:val="20"/>
              </w:rPr>
            </w:pPr>
            <w:r>
              <w:rPr>
                <w:sz w:val="20"/>
              </w:rPr>
              <w:t xml:space="preserve">Date:    </w:t>
            </w:r>
            <w:r>
              <w:rPr>
                <w:sz w:val="20"/>
              </w:rPr>
              <w:fldChar w:fldCharType="begin"/>
            </w:r>
            <w:r>
              <w:rPr>
                <w:sz w:val="20"/>
              </w:rPr>
              <w:instrText xml:space="preserve"> MERGEFIELD DateToday </w:instrText>
            </w:r>
            <w:r>
              <w:rPr>
                <w:sz w:val="20"/>
              </w:rPr>
              <w:fldChar w:fldCharType="separate"/>
            </w:r>
            <w:r>
              <w:rPr>
                <w:sz w:val="20"/>
              </w:rPr>
              <w:t>November 22, 2000</w:t>
            </w:r>
            <w:r>
              <w:rPr>
                <w:sz w:val="20"/>
              </w:rPr>
              <w:fldChar w:fldCharType="end"/>
            </w:r>
          </w:p>
        </w:tc>
        <w:tc>
          <w:tcPr>
            <w:tcW w:w="6012" w:type="dxa"/>
            <w:tcBorders/>
          </w:tcPr>
          <w:p>
            <w:pPr>
              <w:pStyle w:val="Normal"/>
              <w:rPr>
                <w:sz w:val="20"/>
              </w:rPr>
            </w:pPr>
            <w:r>
              <w:rPr>
                <w:sz w:val="20"/>
              </w:rPr>
              <w:t>Date:  __________________________</w:t>
            </w:r>
          </w:p>
        </w:tc>
      </w:tr>
    </w:tbl>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sectPr>
          <w:footerReference w:type="default" r:id="rId3"/>
          <w:footerReference w:type="first" r:id="rId4"/>
          <w:type w:val="nextPage"/>
          <w:pgSz w:w="12240" w:h="15840"/>
          <w:pgMar w:left="1440" w:right="1440" w:gutter="0" w:header="0" w:top="1440" w:footer="720" w:bottom="1440"/>
          <w:pgNumType w:start="1" w:fmt="decimal"/>
          <w:formProt w:val="true"/>
          <w:titlePg/>
          <w:textDirection w:val="lrTb"/>
          <w:docGrid w:type="default" w:linePitch="360" w:charSpace="0"/>
        </w:sectPr>
      </w:pPr>
    </w:p>
    <w:p>
      <w:pPr>
        <w:pStyle w:val="Normal"/>
        <w:keepNext w:val="true"/>
        <w:jc w:val="center"/>
        <w:rPr>
          <w:b/>
          <w:color w:val="000000"/>
          <w:sz w:val="20"/>
          <w:u w:val="single"/>
        </w:rPr>
      </w:pPr>
      <w:r>
        <w:rPr>
          <w:b/>
          <w:color w:val="000000"/>
          <w:sz w:val="20"/>
          <w:u w:val="single"/>
        </w:rPr>
        <w:t>EXHIBIT 1</w:t>
      </w:r>
    </w:p>
    <w:p>
      <w:pPr>
        <w:pStyle w:val="Normal"/>
        <w:jc w:val="center"/>
        <w:rPr>
          <w:b/>
          <w:color w:val="000000"/>
          <w:sz w:val="20"/>
          <w:u w:val="single"/>
        </w:rPr>
      </w:pPr>
      <w:r>
        <w:rPr>
          <w:b/>
          <w:color w:val="000000"/>
          <w:sz w:val="20"/>
          <w:u w:val="single"/>
        </w:rPr>
      </w:r>
    </w:p>
    <w:p>
      <w:pPr>
        <w:pStyle w:val="Normal"/>
        <w:jc w:val="center"/>
        <w:rPr>
          <w:sz w:val="20"/>
        </w:rPr>
      </w:pPr>
      <w:r>
        <w:rPr>
          <w:sz w:val="20"/>
        </w:rPr>
        <w:t>LEGAL OPINION</w:t>
      </w:r>
    </w:p>
    <w:p>
      <w:pPr>
        <w:pStyle w:val="Normal"/>
        <w:jc w:val="center"/>
        <w:rPr>
          <w:sz w:val="20"/>
        </w:rPr>
      </w:pPr>
      <w:r>
        <w:rPr>
          <w:sz w:val="20"/>
        </w:rPr>
      </w:r>
    </w:p>
    <w:p>
      <w:pPr>
        <w:pStyle w:val="Normal"/>
        <w:jc w:val="center"/>
        <w:rPr>
          <w:sz w:val="20"/>
        </w:rPr>
      </w:pPr>
      <w:r>
        <w:rPr>
          <w:sz w:val="20"/>
        </w:rPr>
      </w:r>
    </w:p>
    <w:p>
      <w:pPr>
        <w:pStyle w:val="Normal"/>
        <w:spacing w:before="0" w:after="720"/>
        <w:jc w:val="center"/>
        <w:rPr>
          <w:sz w:val="20"/>
        </w:rPr>
      </w:pPr>
      <w:r>
        <w:rPr>
          <w:sz w:val="20"/>
        </w:rPr>
        <w:t>[Letterhead of Counterparty’s Outside Legal Counsel]</w:t>
      </w:r>
    </w:p>
    <w:p>
      <w:pPr>
        <w:pStyle w:val="Normal"/>
        <w:spacing w:before="0" w:after="720"/>
        <w:jc w:val="center"/>
        <w:rPr>
          <w:sz w:val="20"/>
        </w:rPr>
      </w:pPr>
      <w:r>
        <w:rPr>
          <w:sz w:val="20"/>
        </w:rPr>
        <w:t>[Date]</w:t>
      </w:r>
    </w:p>
    <w:p>
      <w:pPr>
        <w:pStyle w:val="Normal"/>
        <w:rPr>
          <w:sz w:val="20"/>
        </w:rPr>
      </w:pPr>
      <w:r>
        <w:rPr>
          <w:sz w:val="20"/>
        </w:rPr>
        <w:t>Enron North America Corp.</w:t>
      </w:r>
    </w:p>
    <w:p>
      <w:pPr>
        <w:pStyle w:val="Normal"/>
        <w:rPr>
          <w:sz w:val="20"/>
        </w:rPr>
      </w:pPr>
      <w:r>
        <w:rPr>
          <w:sz w:val="20"/>
        </w:rPr>
        <w:t>1400 Smith Street</w:t>
      </w:r>
    </w:p>
    <w:p>
      <w:pPr>
        <w:pStyle w:val="Normal"/>
        <w:spacing w:before="0" w:after="240"/>
        <w:rPr>
          <w:sz w:val="20"/>
        </w:rPr>
      </w:pPr>
      <w:r>
        <w:rPr>
          <w:sz w:val="20"/>
        </w:rPr>
        <w:t>Houston, Texas  77002</w:t>
      </w:r>
    </w:p>
    <w:p>
      <w:pPr>
        <w:pStyle w:val="Normal"/>
        <w:spacing w:before="0" w:after="240"/>
        <w:ind w:hanging="720" w:start="2160" w:end="0"/>
        <w:rPr>
          <w:sz w:val="20"/>
        </w:rPr>
      </w:pPr>
      <w:r>
        <w:rPr>
          <w:sz w:val="20"/>
        </w:rPr>
        <w:t>Re:</w:t>
        <w:tab/>
        <w:t>Master Agreement between Enron North America Corp. (“Enron”) and [Name of Entity] (“Counterparty”)</w:t>
      </w:r>
    </w:p>
    <w:p>
      <w:pPr>
        <w:pStyle w:val="Normal"/>
        <w:spacing w:before="0" w:after="240"/>
        <w:rPr>
          <w:sz w:val="20"/>
        </w:rPr>
      </w:pPr>
      <w:r>
        <w:rPr>
          <w:sz w:val="20"/>
        </w:rPr>
        <w:t>Ladies and Gentlemen:</w:t>
      </w:r>
    </w:p>
    <w:p>
      <w:pPr>
        <w:pStyle w:val="Normal"/>
        <w:spacing w:before="0" w:after="240"/>
        <w:ind w:firstLine="1440" w:end="0"/>
        <w:jc w:val="both"/>
        <w:rPr>
          <w:sz w:val="20"/>
        </w:rPr>
      </w:pPr>
      <w:r>
        <w:rPr>
          <w:sz w:val="20"/>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0"/>
        </w:rPr>
      </w:pPr>
      <w:r>
        <w:rPr>
          <w:sz w:val="20"/>
        </w:rPr>
        <w:t>Based upon the foregoing, we are of the opinion that:</w:t>
      </w:r>
    </w:p>
    <w:p>
      <w:pPr>
        <w:pStyle w:val="Normal"/>
        <w:spacing w:before="0" w:after="240"/>
        <w:ind w:firstLine="1440" w:end="0"/>
        <w:jc w:val="both"/>
        <w:rPr>
          <w:sz w:val="20"/>
        </w:rPr>
      </w:pPr>
      <w:r>
        <w:rPr>
          <w:sz w:val="20"/>
        </w:rPr>
        <w:t>1.</w:t>
        <w:tab/>
        <w:t>Counterparty is duly organized, validly existing, and in good standing under the constitution and laws of the Relevant Jurisdiction.</w:t>
      </w:r>
    </w:p>
    <w:p>
      <w:pPr>
        <w:pStyle w:val="Normal"/>
        <w:spacing w:before="0" w:after="240"/>
        <w:ind w:firstLine="1440" w:end="0"/>
        <w:jc w:val="both"/>
        <w:rPr>
          <w:sz w:val="20"/>
        </w:rPr>
      </w:pPr>
      <w:r>
        <w:rPr>
          <w:sz w:val="20"/>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0"/>
        </w:rPr>
      </w:pPr>
      <w:r>
        <w:rPr>
          <w:sz w:val="20"/>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0"/>
        </w:rPr>
      </w:pPr>
      <w:r>
        <w:rPr>
          <w:sz w:val="20"/>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0"/>
        </w:rPr>
      </w:pPr>
      <w:r>
        <w:rPr>
          <w:sz w:val="20"/>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0"/>
        </w:rPr>
      </w:pPr>
      <w:r>
        <w:rPr>
          <w:sz w:val="20"/>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0"/>
        </w:rPr>
      </w:pPr>
      <w:r>
        <w:rPr>
          <w:sz w:val="20"/>
        </w:rPr>
        <w:t>7.</w:t>
        <w:tab/>
        <w:t>Counterparty is an “eligible swap participant” as defined in the Part 35 Regulations of the U.S. Commodity Futures Trading Commission.</w:t>
      </w:r>
    </w:p>
    <w:p>
      <w:pPr>
        <w:pStyle w:val="Normal"/>
        <w:spacing w:before="0" w:after="240"/>
        <w:ind w:firstLine="1440" w:end="0"/>
        <w:jc w:val="both"/>
        <w:rPr>
          <w:sz w:val="20"/>
        </w:rPr>
      </w:pPr>
      <w:r>
        <w:rPr>
          <w:sz w:val="20"/>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0"/>
        </w:rPr>
      </w:pPr>
      <w:r>
        <w:rPr>
          <w:sz w:val="20"/>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0"/>
        </w:rPr>
        <w:t>10.</w:t>
        <w:tab/>
        <w:t>No person, firm, corporation, entity, or association other than Counterparty may liquidate, borrow, encumber, or otherwise utilize the assets [(including, without limitation, the assets identified in [</w:t>
      </w:r>
      <w:r>
        <w:rPr>
          <w:i/>
          <w:sz w:val="20"/>
        </w:rPr>
        <w:t>[track language regarding assets of Counterparty in Schedule</w:t>
      </w:r>
      <w:r>
        <w:rPr>
          <w:sz w:val="20"/>
        </w:rPr>
        <w:t>)] of Counterparty.</w:t>
      </w:r>
    </w:p>
    <w:p>
      <w:pPr>
        <w:pStyle w:val="Normal"/>
        <w:spacing w:before="0" w:after="240"/>
        <w:ind w:firstLine="1440" w:end="0"/>
        <w:jc w:val="both"/>
        <w:rPr>
          <w:sz w:val="20"/>
        </w:rPr>
      </w:pPr>
      <w:r>
        <w:rPr>
          <w:sz w:val="20"/>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0"/>
        </w:rPr>
      </w:pPr>
      <w:r>
        <w:rPr>
          <w:sz w:val="20"/>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0"/>
        </w:rPr>
        <w:t>13.</w:t>
        <w:tab/>
        <w:t xml:space="preserve">Counterparty’s obligations under the Agreement are, and until the termination of this Agreement pursuant to the terms hereof shall remain, </w:t>
      </w:r>
      <w:r>
        <w:rPr>
          <w:i/>
          <w:sz w:val="20"/>
        </w:rPr>
        <w:t>[track language regarding source of payments in Schedule]</w:t>
      </w:r>
      <w:r>
        <w:rPr>
          <w:sz w:val="20"/>
        </w:rPr>
        <w:t>.</w:t>
      </w:r>
    </w:p>
    <w:p>
      <w:pPr>
        <w:pStyle w:val="Normal"/>
        <w:spacing w:before="0" w:after="240"/>
        <w:ind w:firstLine="1440" w:end="0"/>
        <w:jc w:val="both"/>
        <w:rPr>
          <w:sz w:val="20"/>
        </w:rPr>
      </w:pPr>
      <w:r>
        <w:rPr>
          <w:sz w:val="20"/>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0"/>
        </w:rPr>
      </w:pPr>
      <w:r>
        <w:rPr>
          <w:sz w:val="20"/>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0"/>
        </w:rPr>
      </w:pPr>
      <w:r>
        <w:rPr>
          <w:sz w:val="20"/>
        </w:rPr>
        <w:t>Very truly yours,</w:t>
      </w:r>
    </w:p>
    <w:p>
      <w:pPr>
        <w:pStyle w:val="Normal"/>
        <w:spacing w:lineRule="exact" w:line="240"/>
        <w:jc w:val="both"/>
        <w:rPr>
          <w:sz w:val="20"/>
        </w:rPr>
      </w:pPr>
      <w:r>
        <w:rPr>
          <w:sz w:val="20"/>
        </w:rPr>
      </w:r>
    </w:p>
    <w:p>
      <w:pPr>
        <w:sectPr>
          <w:footerReference w:type="default" r:id="rId5"/>
          <w:footerReference w:type="first" r:id="rId6"/>
          <w:type w:val="nextPage"/>
          <w:pgSz w:w="12240" w:h="15840"/>
          <w:pgMar w:left="1440" w:right="1440" w:gutter="0" w:header="0" w:top="1440" w:footer="720" w:bottom="1440"/>
          <w:pgNumType w:start="1" w:fmt="decimal"/>
          <w:formProt w:val="true"/>
          <w:textDirection w:val="lrTb"/>
          <w:docGrid w:type="default" w:linePitch="360" w:charSpace="0"/>
        </w:sectPr>
      </w:pPr>
    </w:p>
    <w:p>
      <w:pPr>
        <w:pStyle w:val="Normal"/>
        <w:keepNext w:val="true"/>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spacing w:lineRule="exact" w:line="240"/>
        <w:jc w:val="both"/>
        <w:rPr>
          <w:b/>
          <w:sz w:val="20"/>
        </w:rPr>
      </w:pPr>
      <w:r>
        <w:rPr>
          <w:b/>
          <w:sz w:val="20"/>
        </w:rPr>
      </w:r>
    </w:p>
    <w:p>
      <w:pPr>
        <w:pStyle w:val="Normal"/>
        <w:spacing w:lineRule="exact" w:line="240"/>
        <w:jc w:val="center"/>
        <w:rPr>
          <w:sz w:val="20"/>
        </w:rPr>
      </w:pPr>
      <w:r>
        <w:rPr>
          <w:sz w:val="20"/>
        </w:rPr>
        <w:t>[THIS PAGE INTENTIONALLY LEFT BLANK]</w:t>
      </w:r>
    </w:p>
    <w:p>
      <w:pPr>
        <w:sectPr>
          <w:footerReference w:type="default" r:id="rId7"/>
          <w:footerReference w:type="first" r:id="rId8"/>
          <w:type w:val="nextPage"/>
          <w:pgSz w:w="12240" w:h="15840"/>
          <w:pgMar w:left="1008" w:right="1008" w:gutter="0" w:header="0" w:top="1008" w:footer="432" w:bottom="1008"/>
          <w:pgNumType w:start="1" w:fmt="decimal"/>
          <w:formProt w:val="true"/>
          <w:textDirection w:val="lrTb"/>
          <w:docGrid w:type="default" w:linePitch="360" w:charSpace="0"/>
        </w:sectPr>
      </w:pP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jc w:val="center"/>
        <w:rPr>
          <w:b/>
          <w:sz w:val="20"/>
        </w:rPr>
      </w:pPr>
      <w:r>
        <w:rPr>
          <w:b/>
          <w:sz w:val="20"/>
        </w:rPr>
      </w:r>
    </w:p>
    <w:p>
      <w:pPr>
        <w:pStyle w:val="Heading6"/>
        <w:ind w:hanging="0" w:start="0"/>
        <w:rPr>
          <w:color w:val="FF0000"/>
        </w:rPr>
      </w:pPr>
      <w:r>
        <w:rPr/>
        <w:t>Eugene Water &amp; Electric Board</w:t>
      </w:r>
    </w:p>
    <w:p>
      <w:pPr>
        <w:pStyle w:val="Normal"/>
        <w:jc w:val="center"/>
        <w:rPr>
          <w:b/>
          <w:color w:val="FF0000"/>
          <w:sz w:val="20"/>
        </w:rPr>
      </w:pPr>
      <w:r>
        <w:rPr>
          <w:b/>
          <w:color w:val="FF0000"/>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ind w:hanging="720" w:start="720" w:end="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spacing w:lineRule="exact" w:line="240" w:before="240" w:after="0"/>
        <w:ind w:start="720" w:end="0"/>
        <w:jc w:val="both"/>
        <w:rPr/>
      </w:pPr>
      <w:r>
        <w:rPr>
          <w:sz w:val="20"/>
          <w:u w:val="single"/>
        </w:rPr>
        <w:t>(i)</w:t>
        <w:tab/>
        <w:t>"(ix) the Defaulting Party fails to establish, maintain, renew, substitute or increase the Performance Assurance in accordance with the terms and provisions of Annex B</w:t>
      </w:r>
      <w:r>
        <w:rPr>
          <w:sz w:val="20"/>
        </w:rPr>
        <w:t>-1 and the failure continues for two (2) Business Days after notice from the other party."</w:t>
      </w:r>
    </w:p>
    <w:p>
      <w:pPr>
        <w:pStyle w:val="Normal"/>
        <w:spacing w:lineRule="exact" w:line="240" w:before="240" w:after="0"/>
        <w:ind w:start="720" w:end="0"/>
        <w:jc w:val="both"/>
        <w:rPr>
          <w:sz w:val="20"/>
        </w:rPr>
      </w:pPr>
      <w:r>
        <w:rPr>
          <w:sz w:val="20"/>
        </w:rPr>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w:t>
      </w:r>
      <w:r>
        <w:rPr>
          <w:color w:val="000000"/>
          <w:sz w:val="20"/>
        </w:rPr>
        <w:t xml:space="preserve">; with respect to ENA's Credit Support Provider, U.S. $100,000,000 (or its equivalent in another currency); </w:t>
      </w:r>
      <w:r>
        <w:rPr>
          <w:sz w:val="20"/>
        </w:rPr>
        <w:t>and with respect to Counterparty, U.S. $7,500,000 (or its equivalent in another currency); provided that such Threshold Amount shall apply individually and not collectively with respect to each entity set forth above notwithstanding anything to the contrary set forth in Section 5(a)(vi) of the Agreement.</w:t>
      </w:r>
    </w:p>
    <w:p>
      <w:pPr>
        <w:pStyle w:val="Normal"/>
        <w:ind w:start="720" w:end="0"/>
        <w:jc w:val="both"/>
        <w:rPr>
          <w:sz w:val="20"/>
        </w:rPr>
      </w:pPr>
      <w:r>
        <w:rPr>
          <w:sz w:val="20"/>
        </w:rPr>
      </w:r>
    </w:p>
    <w:p>
      <w:p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 w:val="20"/>
        </w:rPr>
      </w:pPr>
      <w:r>
        <w:rPr>
          <w:sz w:val="20"/>
        </w:rPr>
      </w:r>
    </w:p>
    <w:p>
      <w:pPr>
        <w:pStyle w:val="Normal"/>
        <w:ind w:start="720" w:end="0"/>
        <w:jc w:val="both"/>
        <w:rPr/>
      </w:pPr>
      <w:r>
        <w:rPr>
          <w:i/>
          <w:sz w:val="20"/>
        </w:rPr>
        <w:t>"</w:t>
      </w:r>
      <w:r>
        <w:rPr>
          <w:i/>
          <w:sz w:val="20"/>
          <w:u w:val="single"/>
        </w:rPr>
        <w:t>Credit Rating</w:t>
      </w:r>
      <w:r>
        <w:rPr>
          <w:i/>
          <w:sz w:val="20"/>
        </w:rPr>
        <w:t>"</w:t>
      </w:r>
      <w:r>
        <w:rPr>
          <w:sz w:val="20"/>
        </w:rPr>
        <w:t xml:space="preserve"> means: (a) with respect to ENA (or its Credit Support Provider, as the case may be), on any date of determination, the respective ratings then assigned to such party’s (or its Credit Support Provider’s, as the case may be) unsecured, senior long-term debt or deposit obligations (not supported by third party credit enhancement) by S&amp;P, Moody’s or the specified rating agency or agencies; or (b) with respect to Counterparty, on any date of determination, the respective ratings then assigned to Counterparty's revenue bonds (not supported by third party credit enhancement) by S&amp;P.</w:t>
      </w:r>
    </w:p>
    <w:p>
      <w:pPr>
        <w:pStyle w:val="Normal"/>
        <w:ind w:start="720" w:end="0"/>
        <w:jc w:val="both"/>
        <w:rPr>
          <w:b/>
          <w:sz w:val="20"/>
        </w:rPr>
      </w:pPr>
      <w:r>
        <w:rPr>
          <w:b/>
          <w:sz w:val="20"/>
        </w:rPr>
      </w:r>
    </w:p>
    <w:p>
      <w:pPr>
        <w:pStyle w:val="Normal"/>
        <w:ind w:start="720" w:end="0"/>
        <w:jc w:val="both"/>
        <w:rPr/>
      </w:pPr>
      <w:r>
        <w:rPr>
          <w:i/>
          <w:sz w:val="20"/>
          <w:u w:val="single"/>
        </w:rPr>
        <w:t>"Credit Support Provider"</w:t>
      </w:r>
      <w:r>
        <w:rPr>
          <w:sz w:val="20"/>
        </w:rPr>
        <w:t xml:space="preserve"> means, with respect to ENA only, Enron Corp.</w:t>
      </w:r>
    </w:p>
    <w:p>
      <w:pPr>
        <w:pStyle w:val="Normal"/>
        <w:ind w:start="720" w:end="0"/>
        <w:jc w:val="both"/>
        <w:rPr>
          <w:sz w:val="20"/>
        </w:rPr>
      </w:pPr>
      <w:r>
        <w:rPr>
          <w:sz w:val="20"/>
        </w:rPr>
      </w:r>
    </w:p>
    <w:p>
      <w:pPr>
        <w:pStyle w:val="Normal"/>
        <w:ind w:start="720" w:end="0"/>
        <w:jc w:val="both"/>
        <w:rPr/>
      </w:pPr>
      <w:r>
        <w:rPr>
          <w:i/>
          <w:sz w:val="20"/>
        </w:rPr>
        <w:t>"</w:t>
      </w:r>
      <w:r>
        <w:rPr>
          <w:i/>
          <w:sz w:val="20"/>
          <w:u w:val="single"/>
        </w:rPr>
        <w:t>GAAP</w:t>
      </w:r>
      <w:r>
        <w:rPr>
          <w:i/>
          <w:sz w:val="20"/>
        </w:rPr>
        <w:t>"</w:t>
      </w:r>
      <w:r>
        <w:rPr>
          <w:sz w:val="20"/>
        </w:rPr>
        <w:t xml:space="preserve"> means generally accepted accounting principles that are generally accepted in the country in which the applicable party is organized and on a basis consistent with prior periods.</w:t>
      </w:r>
    </w:p>
    <w:p>
      <w:pPr>
        <w:pStyle w:val="Normal"/>
        <w:spacing w:lineRule="atLeast" w:line="240"/>
        <w:ind w:start="720" w:end="0"/>
        <w:jc w:val="both"/>
        <w:rPr>
          <w:i/>
          <w:i/>
          <w:sz w:val="20"/>
        </w:rPr>
      </w:pPr>
      <w:r>
        <w:rPr>
          <w:i/>
          <w:sz w:val="20"/>
        </w:rPr>
      </w:r>
    </w:p>
    <w:p>
      <w:pPr>
        <w:pStyle w:val="Normal"/>
        <w:spacing w:lineRule="atLeast" w:line="240"/>
        <w:ind w:start="720" w:end="0"/>
        <w:jc w:val="both"/>
        <w:rPr/>
      </w:pPr>
      <w:r>
        <w:rPr>
          <w:i/>
          <w:sz w:val="20"/>
        </w:rPr>
        <w:t>"</w:t>
      </w:r>
      <w:r>
        <w:rPr>
          <w:i/>
          <w:sz w:val="20"/>
          <w:u w:val="single"/>
        </w:rPr>
        <w:t>Material Adverse Change</w:t>
      </w:r>
      <w:r>
        <w:rPr>
          <w:i/>
          <w:sz w:val="20"/>
        </w:rPr>
        <w:t>"</w:t>
      </w:r>
      <w:r>
        <w:rPr>
          <w:sz w:val="20"/>
        </w:rPr>
        <w:t xml:space="preserve"> means (a) with respect to Counterparty, it shall have any of the following occur at any time:  (i) its Credit Rating is below “BBB-” by S&amp;P</w:t>
      </w:r>
      <w:r>
        <w:rPr>
          <w:color w:val="FF0000"/>
          <w:sz w:val="20"/>
        </w:rPr>
        <w:t xml:space="preserve"> </w:t>
      </w:r>
      <w:r>
        <w:rPr>
          <w:sz w:val="20"/>
        </w:rPr>
        <w:t>or it fails to have a Credit Rating from S&amp;P; or (ii) its Net Worth falls below U.S. $140,000,000; or (b) with respect to ENA, Enron Corp.’s</w:t>
      </w:r>
      <w:r>
        <w:rPr>
          <w:color w:val="FF0000"/>
          <w:sz w:val="20"/>
        </w:rPr>
        <w:t xml:space="preserve"> </w:t>
      </w:r>
      <w:r>
        <w:rPr>
          <w:sz w:val="20"/>
        </w:rPr>
        <w:t>Credit Rating is below “BBB-” by S&amp;P.</w:t>
      </w:r>
    </w:p>
    <w:p>
      <w:pPr>
        <w:pStyle w:val="Normal"/>
        <w:spacing w:lineRule="atLeast" w:line="240"/>
        <w:ind w:start="720" w:end="0"/>
        <w:jc w:val="both"/>
        <w:rPr>
          <w:sz w:val="20"/>
        </w:rPr>
      </w:pPr>
      <w:r>
        <w:rPr>
          <w:sz w:val="20"/>
        </w:rPr>
      </w:r>
    </w:p>
    <w:p>
      <w:pPr>
        <w:pStyle w:val="Normal"/>
        <w:ind w:start="720" w:end="0"/>
        <w:jc w:val="both"/>
        <w:rPr/>
      </w:pPr>
      <w:r>
        <w:rPr>
          <w:i/>
          <w:sz w:val="20"/>
        </w:rPr>
        <w:t>"</w:t>
      </w:r>
      <w:r>
        <w:rPr>
          <w:i/>
          <w:sz w:val="20"/>
          <w:u w:val="single"/>
        </w:rPr>
        <w:t>Moody’s</w:t>
      </w:r>
      <w:r>
        <w:rPr>
          <w:i/>
          <w:sz w:val="20"/>
        </w:rPr>
        <w:t>"</w:t>
      </w:r>
      <w:r>
        <w:rPr>
          <w:sz w:val="20"/>
        </w:rPr>
        <w:t xml:space="preserve"> means Moody’s Investors Service, Inc. or its successor.</w:t>
      </w:r>
    </w:p>
    <w:p>
      <w:pPr>
        <w:pStyle w:val="Normal"/>
        <w:ind w:start="720" w:end="0"/>
        <w:jc w:val="both"/>
        <w:rPr>
          <w:sz w:val="20"/>
        </w:rPr>
      </w:pPr>
      <w:r>
        <w:rPr>
          <w:sz w:val="20"/>
        </w:rPr>
      </w:r>
    </w:p>
    <w:p>
      <w:pPr>
        <w:pStyle w:val="Normal"/>
        <w:ind w:start="720" w:end="144"/>
        <w:jc w:val="both"/>
        <w:rPr/>
      </w:pPr>
      <w:r>
        <w:rPr>
          <w:i/>
          <w:sz w:val="20"/>
        </w:rPr>
        <w:t>"</w:t>
      </w:r>
      <w:r>
        <w:rPr>
          <w:i/>
          <w:sz w:val="20"/>
          <w:u w:val="single"/>
        </w:rPr>
        <w:t>Net Worth</w:t>
      </w:r>
      <w:r>
        <w:rPr>
          <w:i/>
          <w:sz w:val="20"/>
        </w:rPr>
        <w:t>"</w:t>
      </w:r>
      <w:r>
        <w:rPr>
          <w:sz w:val="20"/>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start="720" w:end="144"/>
        <w:jc w:val="both"/>
        <w:rPr>
          <w:sz w:val="20"/>
        </w:rPr>
      </w:pPr>
      <w:r>
        <w:rPr>
          <w:sz w:val="20"/>
        </w:rPr>
      </w:r>
    </w:p>
    <w:p>
      <w:pPr>
        <w:pStyle w:val="Normal"/>
        <w:ind w:start="720" w:end="0"/>
        <w:jc w:val="both"/>
        <w:rPr/>
      </w:pPr>
      <w:r>
        <w:rPr>
          <w:i/>
          <w:sz w:val="20"/>
        </w:rPr>
        <w:t>"</w:t>
      </w:r>
      <w:r>
        <w:rPr>
          <w:i/>
          <w:sz w:val="20"/>
          <w:u w:val="single"/>
        </w:rPr>
        <w:t>S&amp;P</w:t>
      </w:r>
      <w:r>
        <w:rPr>
          <w:i/>
          <w:sz w:val="20"/>
        </w:rPr>
        <w:t>"</w:t>
      </w:r>
      <w:r>
        <w:rPr>
          <w:sz w:val="20"/>
        </w:rPr>
        <w:t xml:space="preserve"> means the Standard &amp; Poor’s Rating Group (a division of McGraw-Hill, Inc.) or its successor.</w:t>
      </w:r>
    </w:p>
    <w:p>
      <w:pPr>
        <w:pStyle w:val="Normal"/>
        <w:ind w:start="720" w:end="0"/>
        <w:jc w:val="both"/>
        <w:rPr>
          <w:sz w:val="20"/>
        </w:rPr>
      </w:pPr>
      <w:r>
        <w:rPr>
          <w:sz w:val="20"/>
        </w:rPr>
      </w:r>
    </w:p>
    <w:p>
      <w:pPr>
        <w:pStyle w:val="Normal"/>
        <w:jc w:val="both"/>
        <w:rPr/>
      </w:pPr>
      <w:r>
        <w:rPr>
          <w:sz w:val="20"/>
        </w:rPr>
        <w:t>3.</w:t>
        <w:tab/>
      </w:r>
      <w:r>
        <w:rPr>
          <w:sz w:val="20"/>
          <w:u w:val="single"/>
        </w:rPr>
        <w:t>Credit Support Documents – Collateral Annex.</w:t>
      </w:r>
      <w:r>
        <w:rPr>
          <w:sz w:val="20"/>
        </w:rPr>
        <w:t xml:space="preserve">  Counterparty and ENA shall establish, maintain, renew, substitute and increase Performance Assurance as (and only to the extent) required by Annex B-1, which shall be a Credit Support Document.</w:t>
      </w:r>
    </w:p>
    <w:p>
      <w:pPr>
        <w:sectPr>
          <w:headerReference w:type="default" r:id="rId9"/>
          <w:footerReference w:type="default" r:id="rId10"/>
          <w:footerReference w:type="first" r:id="rId11"/>
          <w:type w:val="nextPage"/>
          <w:pgSz w:w="12240" w:h="15840"/>
          <w:pgMar w:left="864" w:right="720" w:gutter="0" w:header="720" w:top="1440" w:footer="605" w:bottom="720"/>
          <w:pgNumType w:start="1" w:fmt="decimal"/>
          <w:formProt w:val="true"/>
          <w:textDirection w:val="lrTb"/>
          <w:docGrid w:type="default" w:linePitch="360" w:charSpace="0"/>
        </w:sectPr>
      </w:pPr>
    </w:p>
    <w:p>
      <w:pPr>
        <w:pStyle w:val="Normal"/>
        <w:jc w:val="end"/>
        <w:rPr>
          <w:b/>
          <w:sz w:val="20"/>
          <w:u w:val="single"/>
        </w:rPr>
      </w:pPr>
      <w:r>
        <w:rPr>
          <w:b/>
          <w:color w:val="FF0000"/>
          <w:sz w:val="20"/>
          <w:u w:val="single"/>
        </w:rPr>
        <w:t>TWO WAY CASH/LETTER OF CREDIT FORM</w:t>
      </w:r>
    </w:p>
    <w:p>
      <w:pPr>
        <w:pStyle w:val="Heading7"/>
        <w:ind w:hanging="0" w:start="0"/>
        <w:rPr>
          <w:rFonts w:ascii="Times New Roman" w:hAnsi="Times New Roman" w:cs="Times New Roman"/>
          <w:sz w:val="20"/>
        </w:rPr>
      </w:pPr>
      <w:r>
        <w:rPr>
          <w:rFonts w:cs="Times New Roman" w:ascii="Times New Roman" w:hAnsi="Times New Roman"/>
          <w:sz w:val="20"/>
        </w:rPr>
        <w:t>DEEMED ISDA</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Normal"/>
        <w:jc w:val="both"/>
        <w:rPr>
          <w:sz w:val="20"/>
        </w:rPr>
      </w:pPr>
      <w:r>
        <w:rPr>
          <w:sz w:val="20"/>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$25,000,000 and (ii) Counterparty, $3,000,000 provided, however, that the Exposure Threshold for a party shall be zero upon the occurrence and during the continuance of a </w:t>
      </w:r>
      <w:r>
        <w:rPr>
          <w:color w:val="FF0000"/>
          <w:sz w:val="20"/>
        </w:rPr>
        <w:t>[</w:t>
      </w:r>
      <w:r>
        <w:rPr>
          <w:sz w:val="20"/>
        </w:rPr>
        <w:t>Material Adverse Change</w:t>
      </w:r>
      <w:r>
        <w:rPr>
          <w:color w:val="FF0000"/>
          <w:sz w:val="20"/>
        </w:rPr>
        <w:t>]</w:t>
      </w:r>
      <w:r>
        <w:rPr>
          <w:sz w:val="20"/>
        </w:rPr>
        <w:t xml:space="preserve"> or an Event of Default (or an event which, with the giving of notice or the lapse of time or both, would constitute an Event of Default (a “</w:t>
      </w:r>
      <w:r>
        <w:rPr>
          <w:sz w:val="20"/>
          <w:u w:val="single"/>
        </w:rPr>
        <w:t>Potential Event of Default</w:t>
      </w:r>
      <w:r>
        <w:rPr>
          <w:sz w:val="20"/>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tabs>
          <w:tab w:val="left" w:pos="720" w:leader="none"/>
        </w:tabs>
        <w:ind w:hanging="720" w:start="1440" w:end="0"/>
        <w:jc w:val="both"/>
        <w:rPr/>
      </w:pPr>
      <w:r>
        <w:rPr>
          <w:sz w:val="20"/>
        </w:rPr>
        <w:t>(i)</w:t>
        <w:tab/>
      </w:r>
      <w:r>
        <w:rPr>
          <w:i/>
          <w:sz w:val="20"/>
        </w:rPr>
        <w:t>“</w:t>
      </w:r>
      <w:r>
        <w:rPr>
          <w:i/>
          <w:sz w:val="20"/>
          <w:u w:val="single"/>
        </w:rPr>
        <w:t>Letter of Credit Default</w:t>
      </w:r>
      <w:r>
        <w:rPr>
          <w:i/>
          <w:sz w:val="20"/>
        </w:rPr>
        <w:t>”</w:t>
      </w:r>
      <w:r>
        <w:rPr>
          <w:sz w:val="20"/>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0"/>
          <w:u w:val="single"/>
        </w:rPr>
      </w:pPr>
      <w:r>
        <w:rPr>
          <w:b/>
          <w:sz w:val="20"/>
          <w:u w:val="single"/>
        </w:rPr>
      </w:r>
    </w:p>
    <w:p>
      <w:pPr>
        <w:pStyle w:val="Normal"/>
        <w:ind w:start="720" w:end="0"/>
        <w:jc w:val="both"/>
        <w:rPr/>
      </w:pPr>
      <w:r>
        <w:rPr>
          <w:sz w:val="20"/>
        </w:rPr>
        <w:t>(j)</w:t>
        <w:tab/>
        <w:t>“</w:t>
      </w:r>
      <w:r>
        <w:rPr>
          <w:i/>
          <w:sz w:val="20"/>
          <w:u w:val="single"/>
        </w:rPr>
        <w:t>Moody’s</w:t>
      </w:r>
      <w:r>
        <w:rPr>
          <w:sz w:val="20"/>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 w:val="20"/>
          <w:u w:val="single"/>
        </w:rPr>
      </w:pPr>
      <w:r>
        <w:rPr>
          <w:b/>
          <w:sz w:val="20"/>
          <w:u w:val="single"/>
        </w:rPr>
      </w:r>
    </w:p>
    <w:p>
      <w:pPr>
        <w:pStyle w:val="Normal"/>
        <w:ind w:hanging="720" w:start="1440" w:end="0"/>
        <w:jc w:val="both"/>
        <w:rPr/>
      </w:pPr>
      <w:r>
        <w:rPr>
          <w:sz w:val="20"/>
        </w:rPr>
        <w:t>(k)</w:t>
        <w:tab/>
        <w:t>"</w:t>
      </w:r>
      <w:r>
        <w:rPr>
          <w:i/>
          <w:sz w:val="20"/>
          <w:u w:val="single"/>
        </w:rPr>
        <w:t>Performance Assurance</w:t>
      </w:r>
      <w:r>
        <w:rPr>
          <w:sz w:val="20"/>
        </w:rPr>
        <w:t xml:space="preserve">" means (i) one or more irrevocable, transferable standby letters of credit (each a </w:t>
      </w:r>
      <w:r>
        <w:rPr>
          <w:i/>
          <w:sz w:val="20"/>
        </w:rPr>
        <w:t>"</w:t>
      </w:r>
      <w:r>
        <w:rPr>
          <w:i/>
          <w:sz w:val="20"/>
          <w:u w:val="single"/>
        </w:rPr>
        <w:t>Letter of Credit</w:t>
      </w:r>
      <w:r>
        <w:rPr>
          <w:i/>
          <w:sz w:val="20"/>
        </w:rPr>
        <w:t>"</w:t>
      </w:r>
      <w:r>
        <w:rPr>
          <w:sz w:val="20"/>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 w:val="20"/>
          <w:u w:val="single"/>
        </w:rPr>
        <w:t>Schedule 1</w:t>
      </w:r>
      <w:r>
        <w:rPr>
          <w:sz w:val="20"/>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ind w:start="720" w:end="0"/>
        <w:jc w:val="both"/>
        <w:rPr/>
      </w:pPr>
      <w:r>
        <w:rPr>
          <w:sz w:val="20"/>
        </w:rPr>
        <w:t>(l)</w:t>
        <w:tab/>
        <w:t>“</w:t>
      </w:r>
      <w:r>
        <w:rPr>
          <w:i/>
          <w:sz w:val="20"/>
          <w:u w:val="single"/>
        </w:rPr>
        <w:t>S&amp;P”</w:t>
      </w:r>
      <w:r>
        <w:rPr>
          <w:sz w:val="20"/>
        </w:rPr>
        <w:t xml:space="preserve"> means the Standard &amp; Poor’s Rating Group (a division of McGraw-Hill, Inc.) or its successor.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(m)</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(n)</w:t>
        <w:tab/>
        <w:t>"</w:t>
      </w:r>
      <w:r>
        <w:rPr>
          <w:sz w:val="20"/>
          <w:u w:val="single"/>
        </w:rPr>
        <w:t>Transfer</w:t>
      </w:r>
      <w:r>
        <w:rPr>
          <w:sz w:val="20"/>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720" w:start="1440" w:end="0"/>
        <w:jc w:val="both"/>
        <w:rPr/>
      </w:pPr>
      <w:r>
        <w:rPr>
          <w:sz w:val="20"/>
        </w:rPr>
        <w:t>(o)</w:t>
        <w:tab/>
      </w:r>
      <w:r>
        <w:rPr>
          <w:i/>
          <w:sz w:val="20"/>
        </w:rPr>
        <w:t>"</w:t>
      </w:r>
      <w:r>
        <w:rPr>
          <w:i/>
          <w:sz w:val="20"/>
          <w:u w:val="single"/>
        </w:rPr>
        <w:t>Valuation Percentage</w:t>
      </w:r>
      <w:r>
        <w:rPr>
          <w:i/>
          <w:sz w:val="20"/>
        </w:rPr>
        <w:t>”</w:t>
      </w:r>
      <w:r>
        <w:rPr>
          <w:sz w:val="20"/>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0"/>
        </w:rPr>
      </w:pPr>
      <w:r>
        <w:rPr>
          <w:sz w:val="20"/>
        </w:rPr>
      </w:r>
    </w:p>
    <w:p>
      <w:pPr>
        <w:pStyle w:val="Normal"/>
        <w:tabs>
          <w:tab w:val="left" w:pos="720" w:leader="none"/>
        </w:tabs>
        <w:ind w:hanging="1440" w:start="1440" w:end="0"/>
        <w:jc w:val="both"/>
        <w:rPr>
          <w:sz w:val="20"/>
        </w:rPr>
      </w:pPr>
      <w:r>
        <w:rPr>
          <w:sz w:val="20"/>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 w:val="20"/>
          <w:u w:val="single"/>
        </w:rPr>
        <w:t>provided, however</w:t>
      </w:r>
      <w:r>
        <w:rPr>
          <w:sz w:val="20"/>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sz w:val="20"/>
        </w:rPr>
      </w:pPr>
      <w:r>
        <w:rPr>
          <w:sz w:val="20"/>
        </w:rPr>
      </w:r>
    </w:p>
    <w:p>
      <w:pPr>
        <w:pStyle w:val="Normal"/>
        <w:ind w:start="720" w:end="0"/>
        <w:jc w:val="both"/>
        <w:rPr/>
      </w:pPr>
      <w:r>
        <w:rPr>
          <w:sz w:val="20"/>
        </w:rPr>
        <w:t xml:space="preserve">3.  </w:t>
      </w:r>
      <w:r>
        <w:rPr>
          <w:sz w:val="20"/>
          <w:u w:val="single"/>
        </w:rPr>
        <w:t>Cash Collateral</w:t>
      </w:r>
      <w:r>
        <w:rPr>
          <w:sz w:val="20"/>
        </w:rPr>
        <w:t>.</w:t>
        <w:tab/>
        <w:t xml:space="preserve">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 w:val="20"/>
        </w:rPr>
      </w:pPr>
      <w:r>
        <w:rPr>
          <w:sz w:val="20"/>
        </w:rPr>
      </w:r>
    </w:p>
    <w:p>
      <w:pPr>
        <w:pStyle w:val="Normal"/>
        <w:ind w:start="720" w:end="0"/>
        <w:jc w:val="both"/>
        <w:rPr/>
      </w:pPr>
      <w:r>
        <w:rPr>
          <w:sz w:val="20"/>
        </w:rPr>
        <w:t xml:space="preserve">4.  </w:t>
      </w:r>
      <w:r>
        <w:rPr>
          <w:sz w:val="20"/>
          <w:u w:val="single"/>
        </w:rPr>
        <w:t>Letters of Credit</w:t>
      </w:r>
      <w:r>
        <w:rPr>
          <w:sz w:val="20"/>
        </w:rPr>
        <w:t>.</w:t>
        <w:tab/>
        <w:t xml:space="preserve"> Performance Assurance in the form of a Letter of Credit shall be subject to the following provisions:</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pPr>
      <w:r>
        <w:rPr>
          <w:sz w:val="20"/>
        </w:rPr>
        <w:t>(b)</w:t>
        <w:tab/>
        <w:t>Upon the occurrence of a Letter of Credit Default, the Non-Exposed Party agrees to deliver substitute Performance Assurance to the Exposed Party on or before the second Business Day after the occurrence thereof (or the fifth (5</w:t>
      </w:r>
      <w:r>
        <w:rPr>
          <w:sz w:val="20"/>
          <w:vertAlign w:val="superscript"/>
        </w:rPr>
        <w:t>th</w:t>
      </w:r>
      <w:r>
        <w:rPr>
          <w:sz w:val="20"/>
        </w:rPr>
        <w:t>) Business Day after the occurrence thereof if only clause (i) under the definition of Letter of Credit Default applies).</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sz w:val="20"/>
        </w:rPr>
      </w:pPr>
      <w:r>
        <w:rPr>
          <w:sz w:val="20"/>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sz w:val="20"/>
        </w:rPr>
      </w:pPr>
      <w:r>
        <w:rPr>
          <w:sz w:val="20"/>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sz w:val="20"/>
        </w:rPr>
      </w:pPr>
      <w:r>
        <w:rPr>
          <w:sz w:val="20"/>
        </w:rPr>
      </w:r>
    </w:p>
    <w:p>
      <w:pPr>
        <w:pStyle w:val="Normal"/>
        <w:tabs>
          <w:tab w:val="clear" w:pos="720"/>
          <w:tab w:val="left" w:pos="1440" w:leader="none"/>
        </w:tabs>
        <w:ind w:hanging="630" w:start="1440" w:end="0"/>
        <w:jc w:val="both"/>
        <w:rPr>
          <w:sz w:val="20"/>
        </w:rPr>
      </w:pPr>
      <w:r>
        <w:rPr>
          <w:sz w:val="20"/>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 w:val="20"/>
        </w:rPr>
      </w:pPr>
      <w:r>
        <w:rPr>
          <w:sz w:val="20"/>
        </w:rPr>
      </w:r>
    </w:p>
    <w:p>
      <w:pPr>
        <w:pStyle w:val="Normal"/>
        <w:jc w:val="both"/>
        <w:rPr/>
      </w:pPr>
      <w:r>
        <w:rPr>
          <w:sz w:val="20"/>
        </w:rPr>
        <w:tab/>
        <w:t xml:space="preserve">5.  </w:t>
      </w:r>
      <w:r>
        <w:rPr>
          <w:sz w:val="20"/>
          <w:u w:val="single"/>
        </w:rPr>
        <w:t>Additional Representation</w:t>
      </w:r>
      <w:r>
        <w:rPr>
          <w:sz w:val="20"/>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0"/>
        </w:rPr>
        <w:tab/>
        <w:tab/>
        <w:t xml:space="preserve">6.  </w:t>
      </w:r>
      <w:r>
        <w:rPr>
          <w:sz w:val="20"/>
          <w:u w:val="single"/>
        </w:rPr>
        <w:t>Exposed Party’s Rights and Remedies</w:t>
      </w:r>
      <w:r>
        <w:rPr>
          <w:sz w:val="20"/>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7.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0"/>
        </w:rPr>
        <w:t xml:space="preserve">8.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spacing w:before="240" w:after="0"/>
        <w:ind w:hanging="720" w:start="1440" w:end="0"/>
        <w:jc w:val="both"/>
        <w:rPr>
          <w:sz w:val="20"/>
        </w:rPr>
      </w:pPr>
      <w:r>
        <w:rPr>
          <w:sz w:val="20"/>
        </w:rPr>
      </w:r>
    </w:p>
    <w:p>
      <w:pPr>
        <w:sectPr>
          <w:headerReference w:type="default" r:id="rId12"/>
          <w:headerReference w:type="first" r:id="rId13"/>
          <w:footerReference w:type="default" r:id="rId14"/>
          <w:footerReference w:type="first" r:id="rId15"/>
          <w:type w:val="nextPage"/>
          <w:pgSz w:w="12240" w:h="15840"/>
          <w:pgMar w:left="864" w:right="720" w:gutter="0" w:header="720" w:top="1440" w:footer="720" w:bottom="1440"/>
          <w:pgNumType w:start="1" w:fmt="decimal"/>
          <w:formProt w:val="true"/>
          <w:textDirection w:val="lrTb"/>
          <w:docGrid w:type="default" w:linePitch="360" w:charSpace="0"/>
        </w:sectPr>
      </w:pPr>
    </w:p>
    <w:p>
      <w:pPr>
        <w:pStyle w:val="Normal"/>
        <w:jc w:val="center"/>
        <w:rPr>
          <w:sz w:val="20"/>
        </w:rPr>
      </w:pPr>
      <w:r>
        <w:rPr>
          <w:b/>
          <w:sz w:val="20"/>
          <w:u w:val="single"/>
        </w:rPr>
        <w:t>SCHEDULE 1</w:t>
      </w:r>
    </w:p>
    <w:p>
      <w:pPr>
        <w:pStyle w:val="Normal"/>
        <w:jc w:val="center"/>
        <w:rPr>
          <w:sz w:val="20"/>
        </w:rPr>
      </w:pPr>
      <w:r>
        <w:rPr>
          <w:sz w:val="20"/>
        </w:rPr>
      </w:r>
    </w:p>
    <w:p>
      <w:pPr>
        <w:pStyle w:val="Normal"/>
        <w:jc w:val="center"/>
        <w:rPr>
          <w:sz w:val="20"/>
        </w:rPr>
      </w:pPr>
      <w:r>
        <w:rPr>
          <w:sz w:val="20"/>
        </w:rPr>
        <w:t>IRREVOCABLE STANDBY LETTER OF CREDIT FORMAT</w:t>
      </w:r>
    </w:p>
    <w:p>
      <w:pPr>
        <w:pStyle w:val="Normal"/>
        <w:jc w:val="center"/>
        <w:rPr>
          <w:sz w:val="20"/>
        </w:rPr>
      </w:pPr>
      <w:r>
        <w:rPr>
          <w:sz w:val="20"/>
        </w:rPr>
        <w:t xml:space="preserve">DATE OF ISSUANCE:  </w:t>
      </w:r>
      <w:r>
        <w:rPr>
          <w:sz w:val="20"/>
          <w:u w:val="single"/>
        </w:rPr>
        <w:tab/>
        <w:tab/>
        <w:tab/>
      </w:r>
    </w:p>
    <w:p>
      <w:pPr>
        <w:pStyle w:val="Normal"/>
        <w:rPr>
          <w:sz w:val="20"/>
        </w:rPr>
      </w:pPr>
      <w:r>
        <w:rPr>
          <w:sz w:val="20"/>
        </w:rPr>
        <w:t>[Address]</w:t>
      </w:r>
    </w:p>
    <w:p>
      <w:pPr>
        <w:pStyle w:val="Normal"/>
        <w:rPr>
          <w:sz w:val="20"/>
        </w:rPr>
      </w:pPr>
      <w:r>
        <w:rPr>
          <w:sz w:val="20"/>
        </w:rPr>
      </w:r>
    </w:p>
    <w:p>
      <w:pPr>
        <w:pStyle w:val="Normal"/>
        <w:rPr>
          <w:sz w:val="20"/>
        </w:rPr>
      </w:pPr>
      <w:r>
        <w:rPr>
          <w:sz w:val="20"/>
        </w:rPr>
        <w:tab/>
        <w:t>Re:  Credit No. _______________</w:t>
      </w:r>
    </w:p>
    <w:p>
      <w:pPr>
        <w:pStyle w:val="Normal"/>
        <w:rPr>
          <w:sz w:val="20"/>
        </w:rPr>
      </w:pPr>
      <w:r>
        <w:rPr>
          <w:sz w:val="20"/>
        </w:rPr>
      </w:r>
    </w:p>
    <w:p>
      <w:pPr>
        <w:pStyle w:val="Normal"/>
        <w:jc w:val="both"/>
        <w:rPr/>
      </w:pPr>
      <w:r>
        <w:rPr>
          <w:sz w:val="20"/>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0"/>
          <w:u w:val="single"/>
        </w:rPr>
        <w:t>Location</w:t>
      </w:r>
      <w:r>
        <w:rPr>
          <w:sz w:val="20"/>
        </w:rPr>
        <w:t>) on or before the expiration hereof against presentation to us of the following statement, dated and signed by a representative of the beneficiary:</w:t>
      </w:r>
    </w:p>
    <w:p>
      <w:pPr>
        <w:pStyle w:val="Normal"/>
        <w:jc w:val="both"/>
        <w:rPr>
          <w:sz w:val="20"/>
        </w:rPr>
      </w:pPr>
      <w:r>
        <w:rPr>
          <w:sz w:val="20"/>
        </w:rPr>
      </w:r>
    </w:p>
    <w:p>
      <w:pPr>
        <w:pStyle w:val="Normal"/>
        <w:tabs>
          <w:tab w:val="left" w:pos="720" w:leader="none"/>
        </w:tabs>
        <w:ind w:hanging="720" w:start="720" w:end="0"/>
        <w:jc w:val="both"/>
        <w:rPr>
          <w:sz w:val="20"/>
        </w:rPr>
      </w:pPr>
      <w:r>
        <w:rPr>
          <w:sz w:val="20"/>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sz w:val="20"/>
        </w:rPr>
      </w:pPr>
      <w:r>
        <w:rPr>
          <w:sz w:val="20"/>
        </w:rPr>
      </w:r>
    </w:p>
    <w:p>
      <w:pPr>
        <w:pStyle w:val="Normal"/>
        <w:tabs>
          <w:tab w:val="left" w:pos="720" w:leader="none"/>
        </w:tabs>
        <w:jc w:val="both"/>
        <w:rPr>
          <w:sz w:val="20"/>
        </w:rPr>
      </w:pPr>
      <w:r>
        <w:rPr>
          <w:sz w:val="20"/>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0"/>
        </w:rPr>
      </w:pPr>
      <w:r>
        <w:rPr>
          <w:sz w:val="20"/>
        </w:rPr>
      </w:r>
    </w:p>
    <w:p>
      <w:pPr>
        <w:pStyle w:val="BodyText"/>
        <w:rPr>
          <w:rFonts w:ascii="Times New Roman" w:hAnsi="Times New Roman" w:cs="Times New Roman"/>
          <w:sz w:val="20"/>
        </w:rPr>
      </w:pPr>
      <w:r>
        <w:rPr>
          <w:rFonts w:cs="Times New Roman" w:ascii="Times New Roman" w:hAnsi="Times New Roman"/>
          <w:sz w:val="20"/>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0"/>
        </w:rPr>
      </w:pPr>
      <w:r>
        <w:rPr>
          <w:rFonts w:cs="Times New Roman"/>
          <w:sz w:val="20"/>
        </w:rPr>
      </w:r>
    </w:p>
    <w:p>
      <w:pPr>
        <w:pStyle w:val="Normal"/>
        <w:tabs>
          <w:tab w:val="left" w:pos="720" w:leader="none"/>
        </w:tabs>
        <w:jc w:val="both"/>
        <w:rPr>
          <w:sz w:val="20"/>
        </w:rPr>
      </w:pPr>
      <w:r>
        <w:rPr>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0"/>
        </w:rPr>
      </w:pPr>
      <w:r>
        <w:rPr>
          <w:sz w:val="20"/>
        </w:rPr>
      </w:r>
    </w:p>
    <w:p>
      <w:pPr>
        <w:pStyle w:val="Normal"/>
        <w:tabs>
          <w:tab w:val="clear" w:pos="720"/>
          <w:tab w:val="left" w:pos="4320" w:leader="none"/>
          <w:tab w:val="left" w:pos="5040" w:leader="none"/>
          <w:tab w:val="left" w:pos="5760" w:leader="none"/>
        </w:tabs>
        <w:ind w:start="5040" w:end="0"/>
        <w:rPr>
          <w:sz w:val="20"/>
          <w:lang w:val="en-CA"/>
        </w:rPr>
      </w:pPr>
      <w:r>
        <w:rPr>
          <w:sz w:val="20"/>
        </w:rPr>
        <w:t>[BANK SIGNATURE]</w:t>
      </w:r>
    </w:p>
    <w:p>
      <w:pPr>
        <w:pStyle w:val="Normal"/>
        <w:tabs>
          <w:tab w:val="clear" w:pos="720"/>
          <w:tab w:val="left" w:pos="4320" w:leader="none"/>
          <w:tab w:val="left" w:pos="5040" w:leader="none"/>
          <w:tab w:val="left" w:pos="5760" w:leader="none"/>
        </w:tabs>
        <w:ind w:start="5040" w:end="0"/>
        <w:rPr>
          <w:sz w:val="20"/>
          <w:lang w:val="en-CA"/>
        </w:rPr>
      </w:pPr>
      <w:r>
        <w:rPr>
          <w:sz w:val="20"/>
          <w:lang w:val="en-CA"/>
        </w:rPr>
      </w:r>
    </w:p>
    <w:p>
      <w:pPr>
        <w:pStyle w:val="Normal"/>
        <w:jc w:val="center"/>
        <w:rPr>
          <w:sz w:val="20"/>
        </w:rPr>
      </w:pPr>
      <w:r>
        <w:rPr>
          <w:sz w:val="20"/>
        </w:rPr>
      </w:r>
    </w:p>
    <w:p>
      <w:pPr>
        <w:pStyle w:val="Header"/>
        <w:rPr>
          <w:sz w:val="20"/>
        </w:rPr>
      </w:pPr>
      <w:r>
        <w:rPr>
          <w:sz w:val="20"/>
        </w:rPr>
      </w:r>
    </w:p>
    <w:p>
      <w:pPr>
        <w:pStyle w:val="Normal"/>
        <w:rPr>
          <w:sz w:val="20"/>
        </w:rPr>
      </w:pPr>
      <w:r>
        <w:rPr>
          <w:sz w:val="20"/>
        </w:rPr>
      </w:r>
    </w:p>
    <w:p>
      <w:pPr>
        <w:pStyle w:val="Normal"/>
        <w:jc w:val="both"/>
        <w:rPr>
          <w:sz w:val="20"/>
        </w:rPr>
      </w:pPr>
      <w:r>
        <w:rPr>
          <w:sz w:val="20"/>
        </w:rPr>
      </w:r>
    </w:p>
    <w:p>
      <w:pPr>
        <w:pStyle w:val="Normal"/>
        <w:spacing w:lineRule="atLeast" w:line="240"/>
        <w:ind w:start="360" w:end="0"/>
        <w:jc w:val="both"/>
        <w:rPr>
          <w:sz w:val="20"/>
        </w:rPr>
      </w:pPr>
      <w:r>
        <w:rPr>
          <w:sz w:val="20"/>
        </w:rPr>
      </w:r>
    </w:p>
    <w:p>
      <w:pPr>
        <w:pStyle w:val="Normal"/>
        <w:jc w:val="end"/>
        <w:rPr>
          <w:sz w:val="20"/>
          <w:lang w:val="en-CA"/>
        </w:rPr>
      </w:pPr>
      <w:r>
        <w:rPr>
          <w:sz w:val="20"/>
          <w:lang w:val="en-CA"/>
        </w:rPr>
      </w:r>
    </w:p>
    <w:p>
      <w:pPr>
        <w:pStyle w:val="Normal"/>
        <w:rPr>
          <w:b/>
          <w:sz w:val="20"/>
          <w:lang w:val="en-CA"/>
        </w:rPr>
      </w:pPr>
      <w:r>
        <w:rPr>
          <w:b/>
          <w:sz w:val="20"/>
          <w:lang w:val="en-CA"/>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sectPr>
      <w:headerReference w:type="default" r:id="rId16"/>
      <w:headerReference w:type="first" r:id="rId17"/>
      <w:footerReference w:type="default" r:id="rId18"/>
      <w:footerReference w:type="first" r:id="rId19"/>
      <w:type w:val="nextPage"/>
      <w:pgSz w:w="12240" w:h="15840"/>
      <w:pgMar w:left="1152" w:right="864" w:gutter="0" w:header="720" w:top="864" w:footer="720" w:bottom="864"/>
      <w:pgNumType w:fmt="decimal"/>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/mnt/main-storage/datasets/enron-docs/doc/Eugene_Financial_Confirm_447459.04.doc</w:t>
    </w:r>
    <w:r>
      <w:rPr>
        <w:rStyle w:val="PageNumber"/>
        <w:sz w:val="16"/>
      </w:rPr>
      <w:fldChar w:fldCharType="end"/>
    </w:r>
  </w:p>
  <w:p>
    <w:pPr>
      <w:pStyle w:val="Footer"/>
      <w:rPr>
        <w:rStyle w:val="PageNumber"/>
        <w:sz w:val="18"/>
      </w:rPr>
    </w:pPr>
    <w:r>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8</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/mnt/main-storage/datasets/enron-docs/doc/Eugene_Financial_Confirm_447459.04.doc</w:t>
    </w:r>
    <w:r>
      <w:rPr>
        <w:rStyle w:val="PageNumber"/>
        <w:sz w:val="16"/>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/mnt/main-storage/datasets/enron-docs/doc/Eugene_Financial_Confirm_447459.04.doc</w:t>
    </w:r>
    <w:r>
      <w:rPr>
        <w:rStyle w:val="PageNumber"/>
        <w:sz w:val="16"/>
      </w:rPr>
      <w:fldChar w:fldCharType="end"/>
    </w:r>
  </w:p>
  <w:p>
    <w:pPr>
      <w:pStyle w:val="Footer"/>
      <w:jc w:val="center"/>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/mnt/main-storage/datasets/enron-docs/doc/Eugene_Financial_Confirm_447459.04.doc</w:t>
    </w:r>
    <w:r>
      <w:rPr>
        <w:rStyle w:val="PageNumber"/>
        <w:sz w:val="16"/>
      </w:rPr>
      <w:fldChar w:fldCharType="end"/>
    </w:r>
  </w:p>
  <w:p>
    <w:pPr>
      <w:pStyle w:val="Footer"/>
      <w:rPr>
        <w:rStyle w:val="PageNumber"/>
        <w:sz w:val="16"/>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/mnt/main-storage/datasets/enron-docs/doc/Eugene_Financial_Confirm_447459.04.doc</w:t>
    </w:r>
    <w:r>
      <w:rPr>
        <w:rStyle w:val="PageNumber"/>
        <w:sz w:val="16"/>
      </w:rPr>
      <w:fldChar w:fldCharType="end"/>
    </w:r>
  </w:p>
  <w:p>
    <w:pPr>
      <w:pStyle w:val="Footer"/>
      <w:rPr>
        <w:rStyle w:val="PageNumber"/>
        <w:sz w:val="16"/>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447459.4</w:t>
    </w:r>
    <w:r>
      <w:rPr>
        <w:sz w:val="22"/>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jc w:val="center"/>
      <w:outlineLvl w:val="5"/>
    </w:pPr>
    <w:rPr>
      <w:b/>
      <w:sz w:val="20"/>
    </w:rPr>
  </w:style>
  <w:style w:type="paragraph" w:styleId="Heading7">
    <w:name w:val="heading 7"/>
    <w:basedOn w:val="Normal"/>
    <w:next w:val="Normal"/>
    <w:qFormat/>
    <w:pPr>
      <w:keepNext w:val="true"/>
      <w:numPr>
        <w:ilvl w:val="6"/>
        <w:numId w:val="1"/>
      </w:numPr>
      <w:jc w:val="center"/>
      <w:outlineLvl w:val="6"/>
    </w:pPr>
    <w:rPr>
      <w:rFonts w:ascii="Arial" w:hAnsi="Arial" w:cs="Arial"/>
      <w:b/>
      <w:sz w:val="18"/>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Level1">
    <w:name w:val="Level 1"/>
    <w:basedOn w:val="Normal"/>
    <w:qFormat/>
    <w:pPr>
      <w:widowControl w:val="false"/>
      <w:numPr>
        <w:ilvl w:val="0"/>
        <w:numId w:val="2"/>
      </w:numPr>
      <w:ind w:hanging="720" w:start="1440" w:end="0"/>
      <w:outlineLvl w:val="0"/>
    </w:pPr>
    <w:rPr/>
  </w:style>
  <w:style w:type="paragraph" w:styleId="Level3">
    <w:name w:val="Level 3"/>
    <w:basedOn w:val="Normal"/>
    <w:qFormat/>
    <w:pPr>
      <w:widowControl w:val="false"/>
      <w:numPr>
        <w:ilvl w:val="0"/>
        <w:numId w:val="2"/>
      </w:numPr>
      <w:ind w:hanging="720" w:start="2160" w:end="0"/>
      <w:outlineLvl w:val="2"/>
    </w:pPr>
    <w:rPr/>
  </w:style>
  <w:style w:type="paragraph" w:styleId="Level2">
    <w:name w:val="Level 2"/>
    <w:basedOn w:val="Normal"/>
    <w:qFormat/>
    <w:pPr>
      <w:widowControl w:val="false"/>
      <w:outlineLvl w:val="1"/>
    </w:pPr>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2">
    <w:name w:val="Body Text 2"/>
    <w:basedOn w:val="Normal"/>
    <w:qFormat/>
    <w:pPr>
      <w:jc w:val="both"/>
    </w:pPr>
    <w:rPr>
      <w:color w:val="00800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1.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2000-11-22T20:06:00Z</dcterms:created>
  <dc:creator>ECT</dc:creator>
  <dc:description/>
  <dc:language>en-CA</dc:language>
  <cp:lastModifiedBy>Melissa Murphy</cp:lastModifiedBy>
  <dcterms:modified xsi:type="dcterms:W3CDTF">2000-11-22T20:06:00Z</dcterms:modified>
  <cp:revision>2</cp:revision>
  <dc:subject/>
  <dc:title>447459.4</dc:title>
</cp:coreProperties>
</file>