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5.xml" ContentType="application/vnd.openxmlformats-officedocument.wordprocessingml.footer+xml"/>
  <Override PartName="/word/media/image1.png" ContentType="image/png"/>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1400 Smith St</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77002-7327</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 xml:space="preserve"> </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 xml:space="preserve"> </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Normal"/>
        <w:rPr>
          <w:sz w:val="20"/>
        </w:rPr>
      </w:pPr>
      <w:r>
        <w:rPr>
          <w:sz w:val="20"/>
        </w:rPr>
        <w:t>November 22, 2000</w:t>
      </w:r>
    </w:p>
    <w:p>
      <w:pPr>
        <w:pStyle w:val="Normal"/>
        <w:rPr>
          <w:sz w:val="20"/>
        </w:rPr>
      </w:pPr>
      <w:r>
        <w:rPr>
          <w:sz w:val="20"/>
        </w:rPr>
      </w:r>
    </w:p>
    <w:p>
      <w:pPr>
        <w:pStyle w:val="Normal"/>
        <w:keepNext w:val="true"/>
        <w:tabs>
          <w:tab w:val="clear" w:pos="720"/>
          <w:tab w:val="left" w:pos="3762" w:leader="none"/>
          <w:tab w:val="left" w:pos="4230" w:leader="none"/>
          <w:tab w:val="left" w:pos="9360" w:leader="none"/>
        </w:tabs>
        <w:spacing w:lineRule="exact" w:line="240"/>
        <w:jc w:val="both"/>
        <w:rPr>
          <w:sz w:val="20"/>
        </w:rPr>
      </w:pPr>
      <w:r>
        <w:rPr>
          <w:sz w:val="20"/>
        </w:rPr>
        <w:t>Eugene Water &amp; Electric Board</w:t>
      </w:r>
    </w:p>
    <w:p>
      <w:pPr>
        <w:pStyle w:val="Normal"/>
        <w:keepNext w:val="true"/>
        <w:tabs>
          <w:tab w:val="clear" w:pos="720"/>
          <w:tab w:val="left" w:pos="3762" w:leader="none"/>
          <w:tab w:val="left" w:pos="4230" w:leader="none"/>
          <w:tab w:val="left" w:pos="9360" w:leader="none"/>
        </w:tabs>
        <w:spacing w:lineRule="exact" w:line="240"/>
        <w:jc w:val="both"/>
        <w:rPr>
          <w:sz w:val="20"/>
        </w:rPr>
      </w:pPr>
      <w:r>
        <w:rPr>
          <w:sz w:val="20"/>
        </w:rPr>
        <w:t>500 East 4th Avenue</w:t>
      </w:r>
    </w:p>
    <w:p>
      <w:pPr>
        <w:pStyle w:val="Normal"/>
        <w:keepNext w:val="true"/>
        <w:tabs>
          <w:tab w:val="clear" w:pos="720"/>
          <w:tab w:val="left" w:pos="3762" w:leader="none"/>
          <w:tab w:val="left" w:pos="4230" w:leader="none"/>
          <w:tab w:val="left" w:pos="9360" w:leader="none"/>
        </w:tabs>
        <w:spacing w:lineRule="exact" w:line="240"/>
        <w:jc w:val="both"/>
        <w:rPr>
          <w:sz w:val="20"/>
        </w:rPr>
      </w:pPr>
      <w:r>
        <w:rPr>
          <w:sz w:val="20"/>
        </w:rPr>
        <w:t>Eugene, Oregon 97440-2148</w:t>
      </w:r>
    </w:p>
    <w:p>
      <w:pPr>
        <w:pStyle w:val="Normal"/>
        <w:rPr>
          <w:sz w:val="20"/>
        </w:rPr>
      </w:pPr>
      <w:r>
        <w:rPr>
          <w:sz w:val="20"/>
        </w:rPr>
        <w:t xml:space="preserve">Attention: Bert Dunn </w:t>
      </w:r>
    </w:p>
    <w:p>
      <w:pPr>
        <w:pStyle w:val="Index1"/>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2952" w:leader="none"/>
          <w:tab w:val="left" w:pos="4230" w:leader="none"/>
          <w:tab w:val="left" w:pos="9360" w:leader="none"/>
        </w:tabs>
        <w:spacing w:lineRule="exact" w:line="240"/>
        <w:ind w:start="72" w:end="0"/>
        <w:jc w:val="both"/>
        <w:rPr>
          <w:sz w:val="20"/>
        </w:rPr>
      </w:pPr>
      <w:r>
        <w:rPr>
          <w:sz w:val="20"/>
        </w:rPr>
        <w:t>Fax No.: (541) 341-1889</w:t>
      </w:r>
    </w:p>
    <w:p>
      <w:pPr>
        <w:pStyle w:val="Index1"/>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Telephone No.: (541) 341-8564</w:t>
      </w:r>
    </w:p>
    <w:p>
      <w:pPr>
        <w:pStyle w:val="Normal"/>
        <w:rPr>
          <w:rFonts w:ascii="Times New Roman" w:hAnsi="Times New Roman" w:cs="Times New Roman"/>
          <w:sz w:val="20"/>
        </w:rPr>
      </w:pPr>
      <w:r>
        <w:rPr>
          <w:rFonts w:cs="Times New Roman"/>
          <w:sz w:val="20"/>
        </w:rPr>
      </w:r>
    </w:p>
    <w:p>
      <w:pPr>
        <w:pStyle w:val="Normal"/>
        <w:rPr>
          <w:sz w:val="20"/>
        </w:rPr>
      </w:pPr>
      <w:r>
        <w:rPr>
          <w:sz w:val="20"/>
        </w:rPr>
        <w:t>Re:</w:t>
        <w:tab/>
        <w:t>TRANSACTION ENA Contract No. 447459.02</w:t>
      </w:r>
    </w:p>
    <w:p>
      <w:pPr>
        <w:pStyle w:val="Normal"/>
        <w:rPr>
          <w:sz w:val="20"/>
        </w:rPr>
      </w:pPr>
      <w:r>
        <w:rPr>
          <w:sz w:val="20"/>
        </w:rPr>
      </w:r>
    </w:p>
    <w:p>
      <w:pPr>
        <w:pStyle w:val="Normal"/>
        <w:rPr>
          <w:sz w:val="20"/>
        </w:rPr>
      </w:pPr>
      <w:r>
        <w:rPr>
          <w:sz w:val="20"/>
        </w:rPr>
        <w:t>Dear Sirs:</w:t>
      </w:r>
    </w:p>
    <w:p>
      <w:pPr>
        <w:pStyle w:val="Normal"/>
        <w:rPr>
          <w:sz w:val="20"/>
        </w:rPr>
      </w:pPr>
      <w:r>
        <w:rPr>
          <w:sz w:val="20"/>
        </w:rPr>
      </w:r>
    </w:p>
    <w:p>
      <w:pPr>
        <w:pStyle w:val="Normal"/>
        <w:jc w:val="both"/>
        <w:rPr>
          <w:sz w:val="20"/>
        </w:rPr>
      </w:pPr>
      <w:r>
        <w:rPr>
          <w:sz w:val="20"/>
        </w:rPr>
        <w:t>The purpose of this document is to confirm the terms and conditions of the transaction entered into between Eugene Water &amp; Electric Board (“Counterparty”) and Enron North America Corp. (“ENA”) on October 30, 2000 (the “Transaction”).  This document constitutes a “Confirmation” as referred to in the ISDA Agreement specified below and the transaction described above constitutes a “Transaction” as referred to in such ISDA Agreement.  This is a Confirmation of the following Transaction entered into between us on October 30, 2000 between Holli Krebs of ENA and Bert Dunn of Counterparty.</w:t>
      </w:r>
    </w:p>
    <w:p>
      <w:pPr>
        <w:pStyle w:val="Normal"/>
        <w:jc w:val="both"/>
        <w:rPr>
          <w:sz w:val="20"/>
        </w:rPr>
      </w:pPr>
      <w:r>
        <w:rPr>
          <w:sz w:val="20"/>
        </w:rPr>
      </w:r>
    </w:p>
    <w:p>
      <w:pPr>
        <w:pStyle w:val="BodyText"/>
        <w:rPr>
          <w:rFonts w:ascii="Times New Roman" w:hAnsi="Times New Roman" w:cs="Times New Roman"/>
          <w:sz w:val="20"/>
        </w:rPr>
      </w:pPr>
      <w:r>
        <w:rPr>
          <w:rFonts w:cs="Times New Roman" w:ascii="Times New Roman" w:hAnsi="Times New Roman"/>
          <w:sz w:val="20"/>
        </w:rPr>
        <w:t>1.</w:t>
        <w:tab/>
        <w:t>The definitions and provisions contained in the 1991 ISDA Definitions and the 1993 ISDA Commodity Derivatives Definitions (the “Definitions”), each as published by the International Swaps and Derivatives Association, Inc. (“ISDA”), are incorporated into this Confirmation.  In the event of any inconsistency between the Definitions and this Confirmation, this Confirmation will prevail.  In the event of any inconsistency between the 1991 ISDA Definitions and the 1993 ISDA Commodity Derivatives Definitions, the 1993 ISDA Commodity Derivatives Definitions will prevail.</w:t>
      </w:r>
    </w:p>
    <w:p>
      <w:pPr>
        <w:pStyle w:val="Normal"/>
        <w:jc w:val="both"/>
        <w:rPr>
          <w:rFonts w:ascii="Times New Roman" w:hAnsi="Times New Roman" w:cs="Times New Roman"/>
          <w:sz w:val="20"/>
        </w:rPr>
      </w:pPr>
      <w:r>
        <w:rPr>
          <w:rFonts w:cs="Times New Roman"/>
          <w:sz w:val="20"/>
        </w:rPr>
      </w:r>
    </w:p>
    <w:p>
      <w:pPr>
        <w:pStyle w:val="Normal"/>
        <w:jc w:val="both"/>
        <w:rPr/>
      </w:pPr>
      <w:r>
        <w:rPr>
          <w:sz w:val="20"/>
        </w:rPr>
        <w:t>2.</w:t>
        <w:tab/>
      </w:r>
      <w:r>
        <w:rPr>
          <w:b/>
          <w:sz w:val="20"/>
          <w:u w:val="single"/>
        </w:rPr>
        <w:t>Terms of Transaction</w:t>
      </w:r>
      <w:r>
        <w:rPr>
          <w:b/>
          <w:sz w:val="20"/>
        </w:rPr>
        <w:t xml:space="preserve">.  </w:t>
      </w:r>
      <w:r>
        <w:rPr>
          <w:sz w:val="20"/>
        </w:rPr>
        <w:t>The terms of the particular Transaction to which this Confirmation relates are as follows:</w:t>
      </w:r>
    </w:p>
    <w:p>
      <w:pPr>
        <w:pStyle w:val="Normal"/>
        <w:rPr>
          <w:sz w:val="20"/>
        </w:rPr>
      </w:pPr>
      <w:r>
        <w:rPr>
          <w:sz w:val="20"/>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0"/>
              </w:rPr>
            </w:pPr>
            <w:r>
              <w:rPr>
                <w:sz w:val="20"/>
              </w:rPr>
              <w:t>Notional Quantity per</w:t>
            </w:r>
          </w:p>
          <w:p>
            <w:pPr>
              <w:pStyle w:val="Normal"/>
              <w:ind w:start="720" w:end="0"/>
              <w:rPr>
                <w:sz w:val="20"/>
              </w:rPr>
            </w:pPr>
            <w:r>
              <w:rPr>
                <w:sz w:val="20"/>
              </w:rPr>
              <w:t>Calculation Period:</w:t>
            </w:r>
          </w:p>
        </w:tc>
        <w:tc>
          <w:tcPr>
            <w:tcW w:w="6102" w:type="dxa"/>
            <w:tcBorders/>
          </w:tcPr>
          <w:p>
            <w:pPr>
              <w:pStyle w:val="Normal"/>
              <w:snapToGrid w:val="false"/>
              <w:jc w:val="both"/>
              <w:rPr>
                <w:sz w:val="20"/>
              </w:rPr>
            </w:pPr>
            <w:r>
              <w:rPr>
                <w:sz w:val="20"/>
              </w:rPr>
            </w:r>
          </w:p>
          <w:p>
            <w:pPr>
              <w:pStyle w:val="Normal"/>
              <w:jc w:val="both"/>
              <w:rPr/>
            </w:pPr>
            <w:r>
              <w:rPr>
                <w:sz w:val="20"/>
              </w:rPr>
              <w:fldChar w:fldCharType="begin"/>
            </w:r>
            <w:r>
              <w:rPr>
                <w:sz w:val="20"/>
              </w:rPr>
              <w:instrText xml:space="preserve"> MERGEFIELD QuantityPerHour </w:instrText>
            </w:r>
            <w:r>
              <w:rPr>
                <w:sz w:val="20"/>
              </w:rPr>
              <w:fldChar w:fldCharType="separate"/>
            </w:r>
            <w:r>
              <w:rPr>
                <w:sz w:val="20"/>
              </w:rPr>
              <w:t>25</w:t>
            </w:r>
            <w:r>
              <w:rPr>
                <w:sz w:val="20"/>
              </w:rPr>
              <w:fldChar w:fldCharType="end"/>
            </w:r>
            <w:r>
              <w:rPr>
                <w:sz w:val="20"/>
              </w:rPr>
              <w:t xml:space="preserve"> </w:t>
            </w:r>
            <w:r>
              <w:rPr>
                <w:sz w:val="20"/>
              </w:rPr>
              <w:t>MWs per hour for each hour during the Calculation Period.</w:t>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Commodity:</w:t>
              <w:tab/>
            </w:r>
          </w:p>
        </w:tc>
        <w:tc>
          <w:tcPr>
            <w:tcW w:w="6102" w:type="dxa"/>
            <w:tcBorders/>
          </w:tcPr>
          <w:p>
            <w:pPr>
              <w:pStyle w:val="Normal"/>
              <w:jc w:val="both"/>
              <w:rPr>
                <w:sz w:val="20"/>
              </w:rPr>
            </w:pPr>
            <w:r>
              <w:rPr>
                <w:sz w:val="20"/>
              </w:rPr>
              <w:fldChar w:fldCharType="begin"/>
            </w:r>
            <w:r>
              <w:rPr>
                <w:sz w:val="20"/>
              </w:rPr>
              <w:instrText xml:space="preserve"> MERGEFIELD CommodityName </w:instrText>
            </w:r>
            <w:r>
              <w:rPr>
                <w:sz w:val="20"/>
              </w:rPr>
              <w:fldChar w:fldCharType="separate"/>
            </w:r>
            <w:r>
              <w:rPr>
                <w:sz w:val="20"/>
              </w:rPr>
              <w:t>Electricity/MWh</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Commodity Unit:</w:t>
            </w:r>
          </w:p>
        </w:tc>
        <w:tc>
          <w:tcPr>
            <w:tcW w:w="6102" w:type="dxa"/>
            <w:tcBorders/>
          </w:tcPr>
          <w:p>
            <w:pPr>
              <w:pStyle w:val="Normal"/>
              <w:jc w:val="both"/>
              <w:rPr>
                <w:sz w:val="20"/>
              </w:rPr>
            </w:pPr>
            <w:r>
              <w:rPr>
                <w:sz w:val="20"/>
              </w:rPr>
              <w:fldChar w:fldCharType="begin"/>
            </w:r>
            <w:r>
              <w:rPr>
                <w:sz w:val="20"/>
              </w:rPr>
              <w:instrText xml:space="preserve"> MERGEFIELD UnitOfMeasure </w:instrText>
            </w:r>
            <w:r>
              <w:rPr>
                <w:sz w:val="20"/>
              </w:rPr>
              <w:fldChar w:fldCharType="separate"/>
            </w:r>
            <w:r>
              <w:rPr>
                <w:sz w:val="20"/>
              </w:rPr>
              <w:t>MWh (Megawatt hours)</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Trade Date:</w:t>
            </w:r>
          </w:p>
        </w:tc>
        <w:tc>
          <w:tcPr>
            <w:tcW w:w="6102" w:type="dxa"/>
            <w:tcBorders/>
          </w:tcPr>
          <w:p>
            <w:pPr>
              <w:pStyle w:val="Normal"/>
              <w:jc w:val="both"/>
              <w:rPr>
                <w:sz w:val="20"/>
              </w:rPr>
            </w:pPr>
            <w:r>
              <w:rPr>
                <w:sz w:val="20"/>
              </w:rPr>
              <w:fldChar w:fldCharType="begin"/>
            </w:r>
            <w:r>
              <w:rPr>
                <w:sz w:val="20"/>
              </w:rPr>
              <w:instrText xml:space="preserve"> MERGEFIELD DealDate </w:instrText>
            </w:r>
            <w:r>
              <w:rPr>
                <w:sz w:val="20"/>
              </w:rPr>
              <w:fldChar w:fldCharType="separate"/>
            </w:r>
            <w:r>
              <w:rPr>
                <w:sz w:val="20"/>
              </w:rPr>
              <w:t>October 30, 2000</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Effective Date:</w:t>
              <w:tab/>
            </w:r>
          </w:p>
        </w:tc>
        <w:tc>
          <w:tcPr>
            <w:tcW w:w="6102" w:type="dxa"/>
            <w:tcBorders/>
          </w:tcPr>
          <w:p>
            <w:pPr>
              <w:pStyle w:val="Normal"/>
              <w:jc w:val="both"/>
              <w:rPr>
                <w:sz w:val="20"/>
              </w:rPr>
            </w:pPr>
            <w:r>
              <w:rPr>
                <w:sz w:val="20"/>
              </w:rPr>
              <w:fldChar w:fldCharType="begin"/>
            </w:r>
            <w:r>
              <w:rPr>
                <w:sz w:val="20"/>
              </w:rPr>
              <w:instrText xml:space="preserve"> MERGEFIELD TransStartDate </w:instrText>
            </w:r>
            <w:r>
              <w:rPr>
                <w:sz w:val="20"/>
              </w:rPr>
              <w:fldChar w:fldCharType="separate"/>
            </w:r>
            <w:r>
              <w:rPr>
                <w:sz w:val="20"/>
              </w:rPr>
              <w:t>October 1, 2001</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Termination Date:</w:t>
            </w:r>
          </w:p>
        </w:tc>
        <w:tc>
          <w:tcPr>
            <w:tcW w:w="6102" w:type="dxa"/>
            <w:tcBorders/>
          </w:tcPr>
          <w:p>
            <w:pPr>
              <w:pStyle w:val="Normal"/>
              <w:jc w:val="both"/>
              <w:rPr>
                <w:sz w:val="20"/>
              </w:rPr>
            </w:pPr>
            <w:r>
              <w:rPr>
                <w:sz w:val="20"/>
              </w:rPr>
              <w:fldChar w:fldCharType="begin"/>
            </w:r>
            <w:r>
              <w:rPr>
                <w:sz w:val="20"/>
              </w:rPr>
              <w:instrText xml:space="preserve"> MERGEFIELD TransStopDate </w:instrText>
            </w:r>
            <w:r>
              <w:rPr>
                <w:sz w:val="20"/>
              </w:rPr>
              <w:fldChar w:fldCharType="separate"/>
            </w:r>
            <w:r>
              <w:rPr>
                <w:sz w:val="20"/>
              </w:rPr>
              <w:t>March 31, 2002</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Calculation Period(s):</w:t>
            </w:r>
          </w:p>
        </w:tc>
        <w:tc>
          <w:tcPr>
            <w:tcW w:w="6102" w:type="dxa"/>
            <w:tcBorders/>
          </w:tcPr>
          <w:p>
            <w:pPr>
              <w:pStyle w:val="Normal"/>
              <w:jc w:val="both"/>
              <w:rPr>
                <w:sz w:val="20"/>
              </w:rPr>
            </w:pPr>
            <w:r>
              <w:rPr>
                <w:sz w:val="20"/>
              </w:rPr>
              <w:fldChar w:fldCharType="begin"/>
            </w:r>
            <w:r>
              <w:rPr>
                <w:sz w:val="20"/>
              </w:rPr>
              <w:instrText xml:space="preserve"> MERGEFIELD DeterminationPeriod </w:instrText>
            </w:r>
            <w:r>
              <w:rPr>
                <w:sz w:val="20"/>
              </w:rPr>
              <w:fldChar w:fldCharType="separate"/>
            </w:r>
            <w:r>
              <w:rPr>
                <w:sz w:val="20"/>
              </w:rPr>
              <w:t>Each calendar month beginning with October 1, 2001 and ending on March 31, 2002</w:t>
            </w:r>
            <w:r>
              <w:rPr>
                <w:sz w:val="20"/>
              </w:rPr>
              <w:fldChar w:fldCharType="end"/>
            </w:r>
          </w:p>
        </w:tc>
      </w:tr>
    </w:tbl>
    <w:p>
      <w:pPr>
        <w:pStyle w:val="Normal"/>
        <w:rPr>
          <w:b/>
          <w:sz w:val="20"/>
        </w:rPr>
      </w:pPr>
      <w:r>
        <w:rPr>
          <w:b/>
          <w:sz w:val="20"/>
        </w:rPr>
        <w:t>Fixed Amount Details:</w:t>
      </w:r>
    </w:p>
    <w:p>
      <w:pPr>
        <w:pStyle w:val="Normal"/>
        <w:rPr>
          <w:b/>
          <w:sz w:val="20"/>
        </w:rPr>
      </w:pPr>
      <w:r>
        <w:rPr>
          <w:b/>
          <w:sz w:val="20"/>
        </w:rPr>
      </w:r>
    </w:p>
    <w:p>
      <w:pPr>
        <w:pStyle w:val="Normal"/>
        <w:jc w:val="both"/>
        <w:rPr>
          <w:sz w:val="20"/>
        </w:rPr>
      </w:pPr>
      <w:r>
        <w:rPr>
          <w:sz w:val="20"/>
        </w:rPr>
        <w:tab/>
        <w:t>Fixed Price Payer:</w:t>
        <w:tab/>
        <w:tab/>
        <w:tab/>
      </w:r>
      <w:r>
        <w:rPr>
          <w:sz w:val="20"/>
        </w:rPr>
        <w:fldChar w:fldCharType="begin"/>
      </w:r>
      <w:r>
        <w:rPr>
          <w:sz w:val="20"/>
        </w:rPr>
        <w:instrText xml:space="preserve"> MERGEFIELD FixedPayerWCP </w:instrText>
      </w:r>
      <w:r>
        <w:rPr>
          <w:sz w:val="20"/>
        </w:rPr>
        <w:fldChar w:fldCharType="separate"/>
      </w:r>
      <w:r>
        <w:rPr>
          <w:sz w:val="20"/>
        </w:rPr>
        <w:t>ENA</w:t>
      </w:r>
      <w:r>
        <w:rPr>
          <w:sz w:val="20"/>
        </w:rPr>
        <w:fldChar w:fldCharType="end"/>
      </w:r>
    </w:p>
    <w:p>
      <w:pPr>
        <w:pStyle w:val="Normal"/>
        <w:rPr>
          <w:sz w:val="20"/>
        </w:rPr>
      </w:pPr>
      <w:r>
        <w:rPr>
          <w:sz w:val="20"/>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0"/>
              </w:rPr>
            </w:pPr>
            <w:r>
              <w:rPr>
                <w:sz w:val="20"/>
              </w:rPr>
              <w:t>Fixed Price:</w:t>
            </w:r>
          </w:p>
        </w:tc>
        <w:tc>
          <w:tcPr>
            <w:tcW w:w="6102" w:type="dxa"/>
            <w:tcBorders/>
          </w:tcPr>
          <w:p>
            <w:pPr>
              <w:pStyle w:val="Normal"/>
              <w:jc w:val="both"/>
              <w:rPr>
                <w:sz w:val="20"/>
              </w:rPr>
            </w:pPr>
            <w:r>
              <w:rPr>
                <w:sz w:val="20"/>
              </w:rPr>
              <w:t>ENA will prepay the Fixed Price of $4,970,000 on the Fixed Price Payment Date.</w:t>
            </w:r>
          </w:p>
        </w:tc>
      </w:tr>
      <w:tr>
        <w:trPr/>
        <w:tc>
          <w:tcPr>
            <w:tcW w:w="4338" w:type="dxa"/>
            <w:tcBorders/>
          </w:tcPr>
          <w:p>
            <w:pPr>
              <w:pStyle w:val="Normal"/>
              <w:snapToGrid w:val="false"/>
              <w:ind w:start="720" w:end="0"/>
              <w:rPr>
                <w:sz w:val="20"/>
              </w:rPr>
            </w:pPr>
            <w:r>
              <w:rPr>
                <w:sz w:val="20"/>
              </w:rPr>
            </w:r>
          </w:p>
          <w:p>
            <w:pPr>
              <w:pStyle w:val="Normal"/>
              <w:ind w:start="720" w:end="0"/>
              <w:rPr>
                <w:sz w:val="20"/>
              </w:rPr>
            </w:pPr>
            <w:r>
              <w:rPr>
                <w:sz w:val="20"/>
              </w:rPr>
              <w:t>Fixed Price Payment Date:</w:t>
            </w:r>
          </w:p>
        </w:tc>
        <w:tc>
          <w:tcPr>
            <w:tcW w:w="6102" w:type="dxa"/>
            <w:tcBorders/>
          </w:tcPr>
          <w:p>
            <w:pPr>
              <w:pStyle w:val="Normal"/>
              <w:snapToGrid w:val="false"/>
              <w:jc w:val="both"/>
              <w:rPr>
                <w:sz w:val="20"/>
              </w:rPr>
            </w:pPr>
            <w:r>
              <w:rPr>
                <w:sz w:val="20"/>
              </w:rPr>
            </w:r>
          </w:p>
          <w:p>
            <w:pPr>
              <w:pStyle w:val="Normal"/>
              <w:jc w:val="both"/>
              <w:rPr>
                <w:sz w:val="20"/>
              </w:rPr>
            </w:pPr>
            <w:r>
              <w:rPr>
                <w:sz w:val="20"/>
              </w:rPr>
              <w:t>January 15, 2001</w:t>
            </w:r>
          </w:p>
        </w:tc>
      </w:tr>
    </w:tbl>
    <w:p>
      <w:pPr>
        <w:pStyle w:val="Normal"/>
        <w:rPr>
          <w:sz w:val="20"/>
        </w:rPr>
      </w:pPr>
      <w:r>
        <w:rPr>
          <w:sz w:val="20"/>
        </w:rPr>
        <w:tab/>
      </w:r>
    </w:p>
    <w:p>
      <w:pPr>
        <w:pStyle w:val="Normal"/>
        <w:rPr>
          <w:b/>
          <w:sz w:val="20"/>
        </w:rPr>
      </w:pPr>
      <w:r>
        <w:rPr>
          <w:b/>
          <w:sz w:val="20"/>
        </w:rPr>
        <w:t>Floating Amount Details:</w:t>
      </w:r>
    </w:p>
    <w:p>
      <w:pPr>
        <w:pStyle w:val="Normal"/>
        <w:rPr>
          <w:b/>
          <w:sz w:val="20"/>
        </w:rPr>
      </w:pPr>
      <w:r>
        <w:rPr>
          <w:b/>
          <w:sz w:val="20"/>
        </w:rPr>
      </w:r>
    </w:p>
    <w:p>
      <w:pPr>
        <w:pStyle w:val="Normal"/>
        <w:jc w:val="both"/>
        <w:rPr>
          <w:sz w:val="20"/>
        </w:rPr>
      </w:pPr>
      <w:r>
        <w:rPr>
          <w:sz w:val="20"/>
        </w:rPr>
        <w:tab/>
        <w:t>Floating Price Payer:</w:t>
        <w:tab/>
        <w:tab/>
        <w:tab/>
      </w:r>
      <w:r>
        <w:rPr>
          <w:sz w:val="20"/>
        </w:rPr>
        <w:fldChar w:fldCharType="begin"/>
      </w:r>
      <w:r>
        <w:rPr>
          <w:sz w:val="20"/>
        </w:rPr>
        <w:instrText xml:space="preserve"> MERGEFIELD FloatPayerWCP </w:instrText>
      </w:r>
      <w:r>
        <w:rPr>
          <w:sz w:val="20"/>
        </w:rPr>
        <w:fldChar w:fldCharType="separate"/>
      </w:r>
      <w:r>
        <w:rPr>
          <w:sz w:val="20"/>
        </w:rPr>
        <w:t>Counterparty</w:t>
      </w:r>
      <w:r>
        <w:rPr>
          <w:sz w:val="20"/>
        </w:rPr>
        <w:fldChar w:fldCharType="end"/>
      </w:r>
    </w:p>
    <w:p>
      <w:pPr>
        <w:pStyle w:val="Normal"/>
        <w:rPr>
          <w:sz w:val="20"/>
        </w:rPr>
      </w:pPr>
      <w:r>
        <w:rPr>
          <w:sz w:val="20"/>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0"/>
              </w:rPr>
            </w:pPr>
            <w:r>
              <w:rPr>
                <w:sz w:val="20"/>
              </w:rPr>
              <w:t>Floating Price:</w:t>
            </w:r>
          </w:p>
        </w:tc>
        <w:tc>
          <w:tcPr>
            <w:tcW w:w="6102" w:type="dxa"/>
            <w:tcBorders/>
          </w:tcPr>
          <w:p>
            <w:pPr>
              <w:pStyle w:val="Normal"/>
              <w:jc w:val="both"/>
              <w:rPr>
                <w:sz w:val="20"/>
              </w:rPr>
            </w:pPr>
            <w:r>
              <w:rPr>
                <w:sz w:val="20"/>
              </w:rPr>
              <w:t>The hourly-weighted average of (i) The average of  the daily day-ahead prices listed in the Dow Jones Mid-Columbia Electricity Price Index entitled “DJ-Mid C Daily Index:  Firm On-Peak:  Index” as published by Dow Jones Telerate (Telerate page 38424) for power during On-Peak Hours on a day that is a Monday through Saturday, excluding NERC Holidays, during the applicable Calculation Period, (ii) the average of the daily day-ahead prices listed in the Dow Jones Mid-Columbia Electricity Price Index entitled “DJ-Mid C Daily Index:  Firm Off-Peak:  Index” as published by Dow Jones Telerate (Telerate page 38424) for power during Off-Peak Hours on a day that is a Monday through Saturday, excluding NERC holidays, during the applicable Calculation Period and (iii ) the average of the daily day-ahead prices listed in the Dow Jones Mid-Columbia Electricity Price Index entitled the “DJ Mid-C Sunday 24 Hour Firm Index” as published by the Dow Jones Telerate (Telerate page 38424) for power during Off-Peak Hours on each day that is a Sunday or NERC holiday during the applicable Calculation Period.</w:t>
            </w:r>
          </w:p>
        </w:tc>
      </w:tr>
      <w:tr>
        <w:trPr/>
        <w:tc>
          <w:tcPr>
            <w:tcW w:w="4338" w:type="dxa"/>
            <w:tcBorders/>
          </w:tcPr>
          <w:p>
            <w:pPr>
              <w:pStyle w:val="Normal"/>
              <w:snapToGrid w:val="false"/>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rPr>
                <w:sz w:val="20"/>
              </w:rPr>
            </w:pPr>
            <w:r>
              <w:rPr>
                <w:sz w:val="20"/>
              </w:rPr>
              <w:t>Floating Price Payment Dates:</w:t>
            </w:r>
          </w:p>
        </w:tc>
        <w:tc>
          <w:tcPr>
            <w:tcW w:w="6102" w:type="dxa"/>
            <w:tcBorders/>
          </w:tcPr>
          <w:p>
            <w:pPr>
              <w:pStyle w:val="Normal"/>
              <w:jc w:val="both"/>
              <w:rPr>
                <w:sz w:val="20"/>
              </w:rPr>
            </w:pPr>
            <w:r>
              <w:rPr>
                <w:sz w:val="20"/>
              </w:rPr>
              <w:fldChar w:fldCharType="begin"/>
            </w:r>
            <w:r>
              <w:rPr>
                <w:sz w:val="20"/>
              </w:rPr>
              <w:instrText xml:space="preserve"> MERGEFIELD PaymentDates </w:instrText>
            </w:r>
            <w:r>
              <w:rPr>
                <w:sz w:val="20"/>
              </w:rPr>
              <w:fldChar w:fldCharType="separate"/>
            </w:r>
            <w:r>
              <w:rPr>
                <w:sz w:val="20"/>
              </w:rPr>
              <w:t>The fifth (5th) Business Day following the date on which the Floating Price is determinable</w:t>
            </w:r>
            <w:r>
              <w:rPr>
                <w:sz w:val="20"/>
              </w:rPr>
              <w:fldChar w:fldCharType="end"/>
            </w:r>
          </w:p>
          <w:p>
            <w:pPr>
              <w:pStyle w:val="Normal"/>
              <w:jc w:val="both"/>
              <w:rPr>
                <w:sz w:val="20"/>
              </w:rPr>
            </w:pPr>
            <w:r>
              <w:rPr>
                <w:sz w:val="20"/>
              </w:rPr>
            </w:r>
          </w:p>
        </w:tc>
      </w:tr>
      <w:tr>
        <w:trPr/>
        <w:tc>
          <w:tcPr>
            <w:tcW w:w="4338" w:type="dxa"/>
            <w:tcBorders/>
          </w:tcPr>
          <w:p>
            <w:pPr>
              <w:pStyle w:val="Normal"/>
              <w:snapToGrid w:val="false"/>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rPr>
                <w:sz w:val="20"/>
              </w:rPr>
            </w:pPr>
            <w:r>
              <w:rPr>
                <w:sz w:val="20"/>
              </w:rPr>
              <w:t>Rounding Convention:</w:t>
            </w:r>
          </w:p>
        </w:tc>
        <w:tc>
          <w:tcPr>
            <w:tcW w:w="6102" w:type="dxa"/>
            <w:tcBorders/>
          </w:tcPr>
          <w:p>
            <w:pPr>
              <w:pStyle w:val="Normal"/>
              <w:jc w:val="both"/>
              <w:rPr>
                <w:sz w:val="20"/>
              </w:rPr>
            </w:pPr>
            <w:r>
              <w:rPr>
                <w:sz w:val="20"/>
              </w:rPr>
              <w:fldChar w:fldCharType="begin"/>
            </w:r>
            <w:r>
              <w:rPr>
                <w:sz w:val="20"/>
              </w:rPr>
              <w:instrText xml:space="preserve"> MERGEFIELD Rounding </w:instrText>
            </w:r>
            <w:r>
              <w:rPr>
                <w:sz w:val="20"/>
              </w:rPr>
              <w:fldChar w:fldCharType="separate"/>
            </w:r>
            <w:r>
              <w:rPr>
                <w:sz w:val="20"/>
              </w:rPr>
              <w:t>For the purposes of the calculation of the Floating Price(s), all numbers shall be rounded to three (3) decimal places. If the fourth (4th) decimal number is five (5) or greater, then the third (3rd) decimal number shall be increased by one (1), and if the fourth (4th) decimal number is less than five (5), then the third (3rd) decimal number shall remain unchanged.</w:t>
            </w:r>
            <w:r>
              <w:rPr>
                <w:sz w:val="20"/>
              </w:rPr>
              <w:fldChar w:fldCharType="end"/>
            </w:r>
          </w:p>
        </w:tc>
      </w:tr>
    </w:tbl>
    <w:p>
      <w:pPr>
        <w:pStyle w:val="Normal"/>
        <w:rPr>
          <w:b/>
          <w:sz w:val="20"/>
        </w:rPr>
      </w:pPr>
      <w:r>
        <w:rPr>
          <w:b/>
          <w:sz w:val="20"/>
        </w:rPr>
      </w:r>
    </w:p>
    <w:p>
      <w:pPr>
        <w:pStyle w:val="Normal"/>
        <w:rPr>
          <w:sz w:val="20"/>
        </w:rPr>
      </w:pPr>
      <w:r>
        <w:rPr>
          <w:sz w:val="20"/>
        </w:rPr>
        <w:t>Each payment will be made in the Contractual Currency (specified in this Confirmation, or if not specified, in U.S. Dollars).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sz w:val="20"/>
              </w:rPr>
            </w:pPr>
            <w:r>
              <w:rPr>
                <w:sz w:val="20"/>
              </w:rPr>
            </w:r>
          </w:p>
          <w:p>
            <w:pPr>
              <w:pStyle w:val="Normal"/>
              <w:rPr>
                <w:sz w:val="20"/>
              </w:rPr>
            </w:pPr>
            <w:r>
              <w:rPr>
                <w:sz w:val="20"/>
              </w:rPr>
              <w:t xml:space="preserve">3.            </w:t>
            </w:r>
            <w:r>
              <w:rPr>
                <w:b/>
                <w:sz w:val="20"/>
                <w:u w:val="single"/>
              </w:rPr>
              <w:t>Account Details.</w:t>
            </w:r>
          </w:p>
        </w:tc>
        <w:tc>
          <w:tcPr>
            <w:tcW w:w="4428" w:type="dxa"/>
            <w:tcBorders/>
          </w:tcPr>
          <w:p>
            <w:pPr>
              <w:pStyle w:val="Normal"/>
              <w:snapToGrid w:val="false"/>
              <w:rPr>
                <w:sz w:val="20"/>
              </w:rPr>
            </w:pPr>
            <w:r>
              <w:rPr>
                <w:sz w:val="20"/>
              </w:rPr>
            </w:r>
          </w:p>
        </w:tc>
      </w:tr>
      <w:tr>
        <w:trPr/>
        <w:tc>
          <w:tcPr>
            <w:tcW w:w="4428" w:type="dxa"/>
            <w:tcBorders/>
          </w:tcPr>
          <w:p>
            <w:pPr>
              <w:pStyle w:val="Normal"/>
              <w:snapToGrid w:val="false"/>
              <w:rPr>
                <w:sz w:val="20"/>
              </w:rPr>
            </w:pPr>
            <w:r>
              <w:rPr>
                <w:sz w:val="20"/>
              </w:rPr>
            </w:r>
          </w:p>
        </w:tc>
        <w:tc>
          <w:tcPr>
            <w:tcW w:w="4428" w:type="dxa"/>
            <w:tcBorders/>
          </w:tcPr>
          <w:p>
            <w:pPr>
              <w:pStyle w:val="Normal"/>
              <w:snapToGrid w:val="false"/>
              <w:rPr>
                <w:sz w:val="20"/>
              </w:rPr>
            </w:pPr>
            <w:r>
              <w:rPr>
                <w:sz w:val="20"/>
              </w:rPr>
            </w:r>
          </w:p>
        </w:tc>
      </w:tr>
      <w:tr>
        <w:trPr/>
        <w:tc>
          <w:tcPr>
            <w:tcW w:w="4428" w:type="dxa"/>
            <w:tcBorders/>
          </w:tcPr>
          <w:p>
            <w:pPr>
              <w:pStyle w:val="Normal"/>
              <w:rPr>
                <w:sz w:val="20"/>
              </w:rPr>
            </w:pPr>
            <w:r>
              <w:rPr>
                <w:sz w:val="20"/>
              </w:rPr>
              <w:tab/>
            </w:r>
            <w:r>
              <w:rPr>
                <w:sz w:val="20"/>
                <w:u w:val="single"/>
              </w:rPr>
              <w:t>Payments to ENA:</w:t>
            </w:r>
          </w:p>
        </w:tc>
        <w:tc>
          <w:tcPr>
            <w:tcW w:w="4428" w:type="dxa"/>
            <w:tcBorders/>
          </w:tcPr>
          <w:p>
            <w:pPr>
              <w:pStyle w:val="Normal"/>
              <w:snapToGrid w:val="false"/>
              <w:rPr>
                <w:sz w:val="20"/>
              </w:rPr>
            </w:pPr>
            <w:r>
              <w:rPr>
                <w:sz w:val="20"/>
              </w:rPr>
            </w:r>
          </w:p>
        </w:tc>
      </w:tr>
      <w:tr>
        <w:trPr/>
        <w:tc>
          <w:tcPr>
            <w:tcW w:w="4428" w:type="dxa"/>
            <w:tcBorders/>
          </w:tcPr>
          <w:p>
            <w:pPr>
              <w:pStyle w:val="Normal"/>
              <w:snapToGrid w:val="false"/>
              <w:rPr>
                <w:sz w:val="20"/>
              </w:rPr>
            </w:pPr>
            <w:r>
              <w:rPr>
                <w:sz w:val="20"/>
              </w:rPr>
            </w:r>
          </w:p>
        </w:tc>
        <w:tc>
          <w:tcPr>
            <w:tcW w:w="4428" w:type="dxa"/>
            <w:tcBorders/>
          </w:tcPr>
          <w:p>
            <w:pPr>
              <w:pStyle w:val="Normal"/>
              <w:snapToGrid w:val="false"/>
              <w:rPr>
                <w:sz w:val="20"/>
              </w:rPr>
            </w:pPr>
            <w:r>
              <w:rPr>
                <w:sz w:val="20"/>
              </w:rPr>
            </w:r>
          </w:p>
        </w:tc>
      </w:tr>
    </w:tbl>
    <w:p>
      <w:pPr>
        <w:pStyle w:val="Normal"/>
        <w:rPr>
          <w:sz w:val="20"/>
        </w:rPr>
      </w:pPr>
      <w:r>
        <w:rPr>
          <w:sz w:val="20"/>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sz w:val="20"/>
              </w:rPr>
            </w:pPr>
            <w:r>
              <w:rPr>
                <w:sz w:val="20"/>
              </w:rPr>
              <w:t xml:space="preserve">Pay  </w:t>
            </w:r>
          </w:p>
        </w:tc>
        <w:tc>
          <w:tcPr>
            <w:tcW w:w="5490" w:type="dxa"/>
            <w:gridSpan w:val="2"/>
            <w:tcBorders/>
          </w:tcPr>
          <w:p>
            <w:pPr>
              <w:pStyle w:val="Normal"/>
              <w:tabs>
                <w:tab w:val="clear" w:pos="720"/>
                <w:tab w:val="left" w:pos="360" w:leader="none"/>
              </w:tabs>
              <w:ind w:hanging="360" w:start="360" w:end="0"/>
              <w:rPr>
                <w:sz w:val="20"/>
              </w:rPr>
            </w:pPr>
            <w:r>
              <w:rPr>
                <w:sz w:val="20"/>
              </w:rPr>
              <w:t>:</w:t>
              <w:tab/>
              <w:t>Bank of America, N.A.</w:t>
            </w:r>
          </w:p>
        </w:tc>
      </w:tr>
      <w:tr>
        <w:trPr/>
        <w:tc>
          <w:tcPr>
            <w:tcW w:w="5490" w:type="dxa"/>
            <w:tcBorders/>
          </w:tcPr>
          <w:p>
            <w:pPr>
              <w:pStyle w:val="Normal"/>
              <w:snapToGrid w:val="false"/>
              <w:ind w:hanging="2160"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For the Account of</w:t>
            </w:r>
          </w:p>
        </w:tc>
        <w:tc>
          <w:tcPr>
            <w:tcW w:w="5490" w:type="dxa"/>
            <w:gridSpan w:val="2"/>
            <w:tcBorders/>
          </w:tcPr>
          <w:p>
            <w:pPr>
              <w:pStyle w:val="Normal"/>
              <w:tabs>
                <w:tab w:val="clear" w:pos="720"/>
                <w:tab w:val="left" w:pos="360" w:leader="none"/>
              </w:tabs>
              <w:ind w:hanging="360" w:start="360" w:end="0"/>
              <w:rPr>
                <w:sz w:val="20"/>
              </w:rPr>
            </w:pPr>
            <w:r>
              <w:rPr>
                <w:sz w:val="20"/>
              </w:rPr>
              <w:t>:</w:t>
              <w:tab/>
              <w:t>Enron North America Corp.</w:t>
            </w:r>
          </w:p>
        </w:tc>
      </w:tr>
      <w:tr>
        <w:trPr/>
        <w:tc>
          <w:tcPr>
            <w:tcW w:w="5490" w:type="dxa"/>
            <w:tcBorders/>
          </w:tcPr>
          <w:p>
            <w:pPr>
              <w:pStyle w:val="Normal"/>
              <w:snapToGrid w:val="false"/>
              <w:ind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Account Number/</w:t>
            </w:r>
          </w:p>
          <w:p>
            <w:pPr>
              <w:pStyle w:val="Normal"/>
              <w:ind w:start="2862" w:end="0"/>
              <w:rPr>
                <w:sz w:val="20"/>
              </w:rPr>
            </w:pPr>
            <w:r>
              <w:rPr>
                <w:sz w:val="20"/>
              </w:rPr>
              <w:t>CHIPS UID</w:t>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p>
            <w:pPr>
              <w:pStyle w:val="Normal"/>
              <w:tabs>
                <w:tab w:val="clear" w:pos="720"/>
                <w:tab w:val="left" w:pos="360" w:leader="none"/>
              </w:tabs>
              <w:ind w:hanging="360" w:start="360" w:end="0"/>
              <w:rPr>
                <w:sz w:val="20"/>
              </w:rPr>
            </w:pPr>
            <w:r>
              <w:rPr>
                <w:sz w:val="20"/>
              </w:rPr>
              <w:t>:</w:t>
              <w:tab/>
              <w:t>3750494727</w:t>
            </w:r>
          </w:p>
        </w:tc>
      </w:tr>
      <w:tr>
        <w:trPr/>
        <w:tc>
          <w:tcPr>
            <w:tcW w:w="5490" w:type="dxa"/>
            <w:tcBorders/>
          </w:tcPr>
          <w:p>
            <w:pPr>
              <w:pStyle w:val="Normal"/>
              <w:snapToGrid w:val="false"/>
              <w:ind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Fed. ABA No.</w:t>
            </w:r>
          </w:p>
        </w:tc>
        <w:tc>
          <w:tcPr>
            <w:tcW w:w="5490" w:type="dxa"/>
            <w:gridSpan w:val="2"/>
            <w:tcBorders/>
          </w:tcPr>
          <w:p>
            <w:pPr>
              <w:pStyle w:val="Normal"/>
              <w:tabs>
                <w:tab w:val="clear" w:pos="720"/>
                <w:tab w:val="left" w:pos="360" w:leader="none"/>
              </w:tabs>
              <w:ind w:hanging="360" w:start="360" w:end="0"/>
              <w:rPr>
                <w:sz w:val="20"/>
              </w:rPr>
            </w:pPr>
            <w:r>
              <w:rPr>
                <w:sz w:val="20"/>
              </w:rPr>
              <w:t>:</w:t>
              <w:tab/>
              <w:t>111000012</w:t>
            </w:r>
          </w:p>
        </w:tc>
      </w:tr>
      <w:tr>
        <w:trPr/>
        <w:tc>
          <w:tcPr>
            <w:tcW w:w="5499" w:type="dxa"/>
            <w:gridSpan w:val="2"/>
            <w:tcBorders/>
          </w:tcPr>
          <w:p>
            <w:pPr>
              <w:pStyle w:val="Normal"/>
              <w:snapToGrid w:val="false"/>
              <w:ind w:firstLine="90" w:start="2862" w:end="0"/>
              <w:rPr>
                <w:sz w:val="20"/>
              </w:rPr>
            </w:pPr>
            <w:r>
              <w:rPr>
                <w:sz w:val="20"/>
              </w:rPr>
            </w:r>
          </w:p>
        </w:tc>
        <w:tc>
          <w:tcPr>
            <w:tcW w:w="5499" w:type="dxa"/>
            <w:tcBorders/>
          </w:tcPr>
          <w:p>
            <w:pPr>
              <w:pStyle w:val="Normal"/>
              <w:snapToGrid w:val="false"/>
              <w:rPr>
                <w:sz w:val="20"/>
              </w:rPr>
            </w:pPr>
            <w:r>
              <w:rPr>
                <w:sz w:val="20"/>
              </w:rPr>
            </w:r>
          </w:p>
        </w:tc>
      </w:tr>
      <w:tr>
        <w:trPr/>
        <w:tc>
          <w:tcPr>
            <w:tcW w:w="5499" w:type="dxa"/>
            <w:gridSpan w:val="2"/>
            <w:tcBorders/>
          </w:tcPr>
          <w:p>
            <w:pPr>
              <w:pStyle w:val="Normal"/>
              <w:keepNext w:val="true"/>
              <w:ind w:hanging="2160" w:start="2862" w:end="0"/>
              <w:rPr>
                <w:sz w:val="20"/>
              </w:rPr>
            </w:pPr>
            <w:r>
              <w:rPr>
                <w:sz w:val="20"/>
              </w:rPr>
              <w:tab/>
            </w:r>
            <w:r>
              <w:rPr>
                <w:sz w:val="20"/>
                <w:u w:val="single"/>
              </w:rPr>
              <w:t>Payments to Counterparty:</w:t>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snapToGrid w:val="false"/>
              <w:ind w:hanging="2160" w:start="2862" w:end="0"/>
              <w:rPr>
                <w:sz w:val="20"/>
              </w:rPr>
            </w:pPr>
            <w:r>
              <w:rPr>
                <w:sz w:val="20"/>
              </w:rPr>
            </w:r>
          </w:p>
        </w:tc>
        <w:tc>
          <w:tcPr>
            <w:tcW w:w="5499" w:type="dxa"/>
            <w:tcBorders/>
          </w:tcPr>
          <w:p>
            <w:pPr>
              <w:pStyle w:val="Normal"/>
              <w:keepNext w:val="true"/>
              <w:snapToGrid w:val="false"/>
              <w:rPr>
                <w:sz w:val="20"/>
              </w:rPr>
            </w:pPr>
            <w:r>
              <w:rPr>
                <w:sz w:val="20"/>
              </w:rPr>
            </w:r>
          </w:p>
        </w:tc>
      </w:tr>
      <w:tr>
        <w:trPr/>
        <w:tc>
          <w:tcPr>
            <w:tcW w:w="5490" w:type="dxa"/>
            <w:tcBorders/>
          </w:tcPr>
          <w:p>
            <w:pPr>
              <w:pStyle w:val="Normal"/>
              <w:keepNext w:val="true"/>
              <w:ind w:start="2862" w:end="0"/>
              <w:rPr>
                <w:sz w:val="20"/>
              </w:rPr>
            </w:pPr>
            <w:r>
              <w:rPr>
                <w:sz w:val="20"/>
              </w:rPr>
              <w:t xml:space="preserve">Pay  </w:t>
            </w:r>
          </w:p>
        </w:tc>
        <w:tc>
          <w:tcPr>
            <w:tcW w:w="5490" w:type="dxa"/>
            <w:gridSpan w:val="2"/>
            <w:tcBorders/>
          </w:tcPr>
          <w:p>
            <w:pPr>
              <w:pStyle w:val="Normal"/>
              <w:keepNext w:val="true"/>
              <w:tabs>
                <w:tab w:val="clear" w:pos="720"/>
                <w:tab w:val="left" w:pos="360" w:leader="none"/>
              </w:tabs>
              <w:ind w:hanging="360" w:start="360" w:end="0"/>
              <w:rPr>
                <w:sz w:val="20"/>
              </w:rPr>
            </w:pPr>
            <w:r>
              <w:rPr>
                <w:sz w:val="20"/>
              </w:rPr>
              <w:t>:</w:t>
            </w:r>
          </w:p>
        </w:tc>
      </w:tr>
      <w:tr>
        <w:trPr/>
        <w:tc>
          <w:tcPr>
            <w:tcW w:w="5490" w:type="dxa"/>
            <w:tcBorders/>
          </w:tcPr>
          <w:p>
            <w:pPr>
              <w:pStyle w:val="Normal"/>
              <w:keepNext w:val="true"/>
              <w:snapToGrid w:val="false"/>
              <w:ind w:hanging="2160"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For the Account of</w:t>
            </w:r>
          </w:p>
        </w:tc>
        <w:tc>
          <w:tcPr>
            <w:tcW w:w="5490" w:type="dxa"/>
            <w:gridSpan w:val="2"/>
            <w:tcBorders/>
          </w:tcPr>
          <w:p>
            <w:pPr>
              <w:pStyle w:val="Normal"/>
              <w:keepNext w:val="true"/>
              <w:tabs>
                <w:tab w:val="clear" w:pos="720"/>
                <w:tab w:val="left" w:pos="360" w:leader="none"/>
              </w:tabs>
              <w:ind w:hanging="360" w:start="360" w:end="0"/>
              <w:rPr>
                <w:sz w:val="20"/>
              </w:rPr>
            </w:pPr>
            <w:r>
              <w:rPr>
                <w:sz w:val="20"/>
              </w:rPr>
              <w:t>:</w:t>
            </w:r>
          </w:p>
        </w:tc>
      </w:tr>
      <w:tr>
        <w:trPr/>
        <w:tc>
          <w:tcPr>
            <w:tcW w:w="5490" w:type="dxa"/>
            <w:tcBorders/>
          </w:tcPr>
          <w:p>
            <w:pPr>
              <w:pStyle w:val="Normal"/>
              <w:keepNext w:val="true"/>
              <w:snapToGrid w:val="false"/>
              <w:ind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Account Number/</w:t>
            </w:r>
          </w:p>
          <w:p>
            <w:pPr>
              <w:pStyle w:val="Normal"/>
              <w:keepNext w:val="true"/>
              <w:ind w:start="2862" w:end="0"/>
              <w:rPr>
                <w:sz w:val="20"/>
              </w:rPr>
            </w:pPr>
            <w:r>
              <w:rPr>
                <w:sz w:val="20"/>
              </w:rPr>
              <w:t>CHIPS UID</w:t>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p>
            <w:pPr>
              <w:pStyle w:val="Normal"/>
              <w:keepNext w:val="true"/>
              <w:tabs>
                <w:tab w:val="clear" w:pos="720"/>
                <w:tab w:val="left" w:pos="360" w:leader="none"/>
              </w:tabs>
              <w:ind w:hanging="360" w:start="360" w:end="0"/>
              <w:rPr>
                <w:sz w:val="20"/>
              </w:rPr>
            </w:pPr>
            <w:r>
              <w:rPr>
                <w:sz w:val="20"/>
              </w:rPr>
              <w:t>:</w:t>
            </w:r>
          </w:p>
        </w:tc>
      </w:tr>
      <w:tr>
        <w:trPr/>
        <w:tc>
          <w:tcPr>
            <w:tcW w:w="5490" w:type="dxa"/>
            <w:tcBorders/>
          </w:tcPr>
          <w:p>
            <w:pPr>
              <w:pStyle w:val="Normal"/>
              <w:keepNext w:val="true"/>
              <w:snapToGrid w:val="false"/>
              <w:ind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Fed. ABA No.</w:t>
            </w:r>
          </w:p>
        </w:tc>
        <w:tc>
          <w:tcPr>
            <w:tcW w:w="5490" w:type="dxa"/>
            <w:gridSpan w:val="2"/>
            <w:tcBorders/>
          </w:tcPr>
          <w:p>
            <w:pPr>
              <w:pStyle w:val="Normal"/>
              <w:keepNext w:val="true"/>
              <w:tabs>
                <w:tab w:val="clear" w:pos="720"/>
                <w:tab w:val="left" w:pos="360" w:leader="none"/>
              </w:tabs>
              <w:ind w:hanging="360" w:start="360" w:end="0"/>
              <w:rPr>
                <w:sz w:val="20"/>
              </w:rPr>
            </w:pPr>
            <w:r>
              <w:rPr>
                <w:sz w:val="20"/>
              </w:rPr>
              <w:t>:</w:t>
            </w:r>
          </w:p>
        </w:tc>
      </w:tr>
      <w:tr>
        <w:trPr/>
        <w:tc>
          <w:tcPr>
            <w:tcW w:w="5499" w:type="dxa"/>
            <w:gridSpan w:val="2"/>
            <w:tcBorders/>
          </w:tcPr>
          <w:p>
            <w:pPr>
              <w:pStyle w:val="Normal"/>
              <w:keepNext w:val="true"/>
              <w:snapToGrid w:val="false"/>
              <w:ind w:firstLine="90" w:start="2862" w:end="0"/>
              <w:rPr>
                <w:sz w:val="20"/>
              </w:rPr>
            </w:pPr>
            <w:r>
              <w:rPr>
                <w:sz w:val="20"/>
              </w:rPr>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ind w:hanging="2160" w:start="2862" w:end="0"/>
              <w:rPr>
                <w:sz w:val="20"/>
              </w:rPr>
            </w:pPr>
            <w:r>
              <w:rPr>
                <w:sz w:val="20"/>
              </w:rPr>
              <w:tab/>
              <w:t xml:space="preserve">Attn:  </w:t>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snapToGrid w:val="false"/>
              <w:ind w:hanging="2160" w:start="2862" w:end="0"/>
              <w:rPr>
                <w:sz w:val="20"/>
              </w:rPr>
            </w:pPr>
            <w:r>
              <w:rPr>
                <w:sz w:val="20"/>
              </w:rPr>
            </w:r>
          </w:p>
        </w:tc>
        <w:tc>
          <w:tcPr>
            <w:tcW w:w="5499" w:type="dxa"/>
            <w:tcBorders/>
          </w:tcPr>
          <w:p>
            <w:pPr>
              <w:pStyle w:val="Normal"/>
              <w:keepNext w:val="true"/>
              <w:snapToGrid w:val="false"/>
              <w:rPr>
                <w:sz w:val="20"/>
              </w:rPr>
            </w:pPr>
            <w:r>
              <w:rPr>
                <w:sz w:val="20"/>
              </w:rPr>
            </w:r>
          </w:p>
        </w:tc>
      </w:tr>
    </w:tbl>
    <w:p>
      <w:pPr>
        <w:pStyle w:val="Normal"/>
        <w:jc w:val="both"/>
        <w:rPr/>
      </w:pPr>
      <w:r>
        <w:rPr>
          <w:sz w:val="20"/>
        </w:rPr>
        <w:t>4.</w:t>
        <w:tab/>
      </w:r>
      <w:r>
        <w:rPr>
          <w:b/>
          <w:sz w:val="20"/>
          <w:u w:val="single"/>
        </w:rPr>
        <w:t>General</w:t>
      </w:r>
      <w:r>
        <w:rPr>
          <w:b/>
          <w:sz w:val="20"/>
        </w:rPr>
        <w:t>.</w:t>
      </w:r>
      <w:r>
        <w:rPr>
          <w:sz w:val="20"/>
        </w:rPr>
        <w:t xml:space="preserve">  The Transaction is subject to the terms and conditions of the 1992 Master Agreement (Local Currency-Single Jurisdiction) (the “ISDA Agreement”) published by ISDA, as modified by this Confirmation.  This Transaction and any future Transactions between the parties are entered into on reliance on that fact that this Confirmation and any future Confirmations form a single agreement between the parties, and the parties would not otherwise enter into any Transaction(s).  Capitalized terms used herein and not otherwise defined herein shall have the meanings given to such terms in the ISDA Agreement.  Each party acknowledges that it has a copy of the ISDA Agreement and it has read and understands the terms and conditions thereof.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ENA and Counterparty agree to promptly negotiate in good faith and enter into a master agreement as soon as reasonably possible in the form of the ISDA Agreement and a separate Credit Support Annex, if applicable, with such modifications as ENA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Normal"/>
        <w:jc w:val="both"/>
        <w:rPr>
          <w:sz w:val="20"/>
        </w:rPr>
      </w:pPr>
      <w:r>
        <w:rPr>
          <w:sz w:val="20"/>
        </w:rPr>
      </w:r>
    </w:p>
    <w:p>
      <w:pPr>
        <w:pStyle w:val="Normal"/>
        <w:jc w:val="both"/>
        <w:rPr>
          <w:sz w:val="20"/>
        </w:rPr>
      </w:pPr>
      <w:r>
        <w:rPr>
          <w:sz w:val="20"/>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sz w:val="20"/>
        </w:rPr>
      </w:pPr>
      <w:r>
        <w:rPr>
          <w:sz w:val="20"/>
        </w:rPr>
      </w:r>
    </w:p>
    <w:p>
      <w:pPr>
        <w:pStyle w:val="Normal"/>
        <w:tabs>
          <w:tab w:val="clear" w:pos="720"/>
          <w:tab w:val="left" w:pos="360" w:leader="none"/>
        </w:tabs>
        <w:jc w:val="both"/>
        <w:rPr/>
      </w:pPr>
      <w:r>
        <w:rPr>
          <w:sz w:val="20"/>
        </w:rPr>
        <w:t>5.</w:t>
      </w:r>
      <w:r>
        <w:rPr>
          <w:b/>
          <w:sz w:val="20"/>
        </w:rPr>
        <w:tab/>
        <w:tab/>
      </w:r>
      <w:r>
        <w:rPr>
          <w:b/>
          <w:sz w:val="20"/>
          <w:u w:val="single"/>
        </w:rPr>
        <w:t>Representations</w:t>
      </w:r>
      <w:r>
        <w:rPr>
          <w:b/>
          <w:sz w:val="20"/>
        </w:rPr>
        <w:t>.</w:t>
      </w:r>
      <w:r>
        <w:rPr>
          <w:sz w:val="20"/>
        </w:rPr>
        <w:t xml:space="preserve">  To induce the other to enter into the Transaction, each party represents and warrants to the other that : (a) </w:t>
      </w:r>
      <w:r>
        <w:rPr>
          <w:sz w:val="20"/>
          <w:u w:val="single"/>
        </w:rPr>
        <w:t>Authority</w:t>
      </w:r>
      <w:r>
        <w:rPr>
          <w:sz w:val="20"/>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sz w:val="20"/>
          <w:u w:val="single"/>
        </w:rPr>
        <w:t>Eligible Swap Participant</w:t>
      </w:r>
      <w:r>
        <w:rPr>
          <w:sz w:val="20"/>
        </w:rPr>
        <w:t xml:space="preserve">: it constitutes an “eligible swap participant” as such term is defined in  17 C.F.R. Section 35.1(b)(2) and this Confirmation constitutes a “swap agreement” within the meaning of 17 C.F.R. Section 35.1(b)(1); and (c) </w:t>
      </w:r>
      <w:r>
        <w:rPr>
          <w:sz w:val="20"/>
          <w:u w:val="single"/>
        </w:rPr>
        <w:t>Line of Business</w:t>
      </w:r>
      <w:r>
        <w:rPr>
          <w:sz w:val="20"/>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sz w:val="20"/>
          <w:u w:val="single"/>
        </w:rPr>
        <w:t>No Reliance and No Advisory Status</w:t>
      </w:r>
      <w:r>
        <w:rPr>
          <w:sz w:val="20"/>
        </w:rPr>
        <w:t>: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w:t>
      </w:r>
    </w:p>
    <w:p>
      <w:pPr>
        <w:pStyle w:val="Normal"/>
        <w:jc w:val="both"/>
        <w:rPr>
          <w:sz w:val="20"/>
        </w:rPr>
      </w:pPr>
      <w:r>
        <w:rPr>
          <w:sz w:val="20"/>
        </w:rPr>
      </w:r>
    </w:p>
    <w:p>
      <w:pPr>
        <w:pStyle w:val="Normal"/>
        <w:jc w:val="both"/>
        <w:rPr/>
      </w:pPr>
      <w:r>
        <w:rPr>
          <w:sz w:val="20"/>
        </w:rPr>
        <w:t>6.</w:t>
        <w:tab/>
      </w:r>
      <w:r>
        <w:rPr>
          <w:b/>
          <w:sz w:val="20"/>
          <w:u w:val="single"/>
        </w:rPr>
        <w:t>Early Termination</w:t>
      </w:r>
      <w:r>
        <w:rPr>
          <w:b/>
          <w:sz w:val="20"/>
        </w:rPr>
        <w:t>.</w:t>
      </w:r>
      <w:r>
        <w:rPr>
          <w:sz w:val="20"/>
        </w:rPr>
        <w:t xml:space="preserve">  For purposes of Section 6(e) of the ISDA Agreement, the Second Method and Loss shall apply.</w:t>
      </w:r>
    </w:p>
    <w:p>
      <w:pPr>
        <w:pStyle w:val="Normal"/>
        <w:jc w:val="both"/>
        <w:rPr>
          <w:sz w:val="20"/>
        </w:rPr>
      </w:pPr>
      <w:r>
        <w:rPr>
          <w:sz w:val="20"/>
        </w:rPr>
      </w:r>
    </w:p>
    <w:p>
      <w:pPr>
        <w:pStyle w:val="Normal"/>
        <w:jc w:val="both"/>
        <w:rPr/>
      </w:pPr>
      <w:r>
        <w:rPr>
          <w:sz w:val="20"/>
        </w:rPr>
        <w:t>7.</w:t>
        <w:tab/>
      </w:r>
      <w:r>
        <w:rPr>
          <w:b/>
          <w:sz w:val="20"/>
          <w:u w:val="single"/>
        </w:rPr>
        <w:t>Governing Law/Jurisdiction</w:t>
      </w:r>
      <w:r>
        <w:rPr>
          <w:b/>
          <w:sz w:val="20"/>
        </w:rPr>
        <w:t>.</w:t>
      </w:r>
      <w:r>
        <w:rPr>
          <w:sz w:val="20"/>
        </w:rPr>
        <w:t xml:space="preserve">  This Confirmation and the ISDA Agreement will be governed by and construed in accordance with the laws of the State of New York (without reference to choice of law doctrine).  Section 11(b) of the ISDA Agreement is replaced with the following:  “(b)  Jurisdiction.  Any dispute relating to this Confirmation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and the ISDA Agreement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Houston, Texas, and such arbitration, and any related award shall be confidential.”</w:t>
      </w:r>
    </w:p>
    <w:p>
      <w:pPr>
        <w:pStyle w:val="Normal"/>
        <w:jc w:val="both"/>
        <w:rPr>
          <w:sz w:val="20"/>
        </w:rPr>
      </w:pPr>
      <w:r>
        <w:rPr>
          <w:sz w:val="20"/>
        </w:rPr>
      </w:r>
    </w:p>
    <w:p>
      <w:pPr>
        <w:pStyle w:val="Normal"/>
        <w:jc w:val="both"/>
        <w:rPr/>
      </w:pPr>
      <w:r>
        <w:rPr>
          <w:sz w:val="20"/>
        </w:rPr>
        <w:t>8.</w:t>
        <w:tab/>
      </w:r>
      <w:r>
        <w:rPr>
          <w:b/>
          <w:sz w:val="20"/>
          <w:u w:val="single"/>
        </w:rPr>
        <w:t>Confidentiality</w:t>
      </w:r>
      <w:r>
        <w:rPr>
          <w:b/>
          <w:sz w:val="20"/>
        </w:rPr>
        <w:t>.</w:t>
      </w:r>
      <w:r>
        <w:rPr>
          <w:sz w:val="20"/>
        </w:rPr>
        <w:t xml:space="preserve">  The contents of this Confirmation, the Transactions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sz w:val="20"/>
        </w:rPr>
      </w:pPr>
      <w:r>
        <w:rPr>
          <w:sz w:val="20"/>
        </w:rPr>
      </w:r>
    </w:p>
    <w:p>
      <w:pPr>
        <w:pStyle w:val="Normal"/>
        <w:jc w:val="both"/>
        <w:rPr/>
      </w:pPr>
      <w:r>
        <w:rPr>
          <w:sz w:val="20"/>
        </w:rPr>
        <w:t>9.</w:t>
        <w:tab/>
      </w:r>
      <w:r>
        <w:rPr>
          <w:b/>
          <w:sz w:val="20"/>
          <w:u w:val="single"/>
        </w:rPr>
        <w:t>Calculation Agent</w:t>
      </w:r>
      <w:r>
        <w:rPr>
          <w:b/>
          <w:sz w:val="20"/>
        </w:rPr>
        <w:t>.</w:t>
      </w:r>
      <w:r>
        <w:rPr>
          <w:sz w:val="20"/>
        </w:rPr>
        <w:t xml:space="preserve">  The Calculation Agent shall be ENA.</w:t>
      </w:r>
    </w:p>
    <w:p>
      <w:pPr>
        <w:pStyle w:val="Normal"/>
        <w:jc w:val="both"/>
        <w:rPr>
          <w:sz w:val="20"/>
        </w:rPr>
      </w:pPr>
      <w:r>
        <w:rPr>
          <w:sz w:val="20"/>
        </w:rPr>
      </w:r>
    </w:p>
    <w:p>
      <w:pPr>
        <w:pStyle w:val="Normal"/>
        <w:tabs>
          <w:tab w:val="clear" w:pos="720"/>
          <w:tab w:val="left" w:pos="810" w:leader="none"/>
          <w:tab w:val="left" w:pos="1170" w:leader="none"/>
        </w:tabs>
        <w:jc w:val="both"/>
        <w:rPr/>
      </w:pPr>
      <w:r>
        <w:rPr>
          <w:sz w:val="20"/>
        </w:rPr>
        <w:t>10.</w:t>
        <w:tab/>
      </w:r>
      <w:r>
        <w:rPr>
          <w:b/>
          <w:sz w:val="20"/>
          <w:u w:val="single"/>
        </w:rPr>
        <w:t>Limitation of Liability</w:t>
      </w:r>
      <w:r>
        <w:rPr>
          <w:b/>
          <w:sz w:val="20"/>
        </w:rPr>
        <w:t xml:space="preserve">. </w:t>
      </w:r>
      <w:r>
        <w:rPr>
          <w:sz w:val="20"/>
        </w:rPr>
        <w:t xml:space="preserve">  </w:t>
      </w:r>
      <w:r>
        <w:rPr>
          <w:b/>
          <w:caps/>
          <w:sz w:val="20"/>
        </w:rPr>
        <w:t xml:space="preserve">No party shall be required to pay SPECIAL, EXEMPLARY, PUNITIVE, incidental, consequential or indirect damages (WHETHER OR NOT ARISING FROM A PARTY'S NEGLIGENCE) to the other party, except to the extent that the payments required to be made pursuant to thIS Confirmation AND THE ISDA AGREEMENT are deemed to be such damages.  If and to the extent any payment made pursuant to thIS Confirmation AND THE ISDA AGREEMENT is deemed to constitute liquidated damages, the parties acknowledge and agree that damages are difficult or impossible to determine and that such payment constitutes a reasonable AND GENUINE PRE-ESTIMATE AND approximation of the amount of such damages, and not a penalty. </w:t>
      </w:r>
      <w:r>
        <w:rPr>
          <w:sz w:val="20"/>
        </w:rPr>
        <w:t xml:space="preserve"> </w:t>
      </w:r>
    </w:p>
    <w:p>
      <w:pPr>
        <w:pStyle w:val="Normal"/>
        <w:rPr>
          <w:sz w:val="20"/>
        </w:rPr>
      </w:pPr>
      <w:r>
        <w:rPr>
          <w:sz w:val="20"/>
        </w:rPr>
      </w:r>
    </w:p>
    <w:p>
      <w:pPr>
        <w:pStyle w:val="Normal"/>
        <w:jc w:val="both"/>
        <w:rPr/>
      </w:pPr>
      <w:r>
        <w:rPr>
          <w:sz w:val="20"/>
        </w:rPr>
        <w:t>11.</w:t>
        <w:tab/>
      </w:r>
      <w:r>
        <w:rPr>
          <w:b/>
          <w:sz w:val="20"/>
          <w:u w:val="single"/>
        </w:rPr>
        <w:t>Setoff</w:t>
      </w:r>
      <w:r>
        <w:rPr>
          <w:b/>
          <w:sz w:val="20"/>
        </w:rPr>
        <w:t>.</w:t>
      </w:r>
      <w:r>
        <w:rPr>
          <w:sz w:val="20"/>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Confirmation and the ISDA Agreement or otherwise, any amounts owed in Dollars or any other currency by Y to X or any of its Affiliates (irrespective of place of payment or booking office of the obligation) under this Confirmation and the ISDA Agreement or otherwise.  The obligations of Y and X under this Confirmation and the ISDA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jc w:val="both"/>
        <w:rPr>
          <w:sz w:val="20"/>
        </w:rPr>
      </w:pPr>
      <w:r>
        <w:rPr>
          <w:sz w:val="20"/>
        </w:rPr>
      </w:r>
    </w:p>
    <w:p>
      <w:pPr>
        <w:pStyle w:val="Normal"/>
        <w:ind w:firstLine="720" w:end="0"/>
        <w:jc w:val="both"/>
        <w:rPr>
          <w:sz w:val="20"/>
        </w:rPr>
      </w:pPr>
      <w:r>
        <w:rPr>
          <w:sz w:val="20"/>
        </w:rPr>
        <w:t>(b)  Notwithstanding any provision to the contrary contained in this Confirmation and the ISDA Agreement, the Non-defaulting Party or non-Affected Party, as the case may be, shall not be required to pay to the Defaulting Party or Affected Party any amount under Section 6(e) of the ISDA Agreement until the Non-defaulting Party or non-Affected Party receives confirmation satisfactory to it in its reasonable discretion (which may include an opinion of its counsel) that all other obligations of any kind whatsoever (whether pursuant to Specified Indebtedness as defined in the ISDA Agreement or otherwise) of the Defaulting Party or Affected Party to make any payments to the Non-defaulting Party or non-Affected Party or any of its Affiliates under this Confirmation and the ISDA Agreement or otherwise which are due and payable as of the Early Termination Date hereof have been fully and finally performed.</w:t>
      </w:r>
    </w:p>
    <w:p>
      <w:pPr>
        <w:pStyle w:val="Index1"/>
        <w:rPr>
          <w:rFonts w:ascii="Times New Roman" w:hAnsi="Times New Roman" w:cs="Times New Roman"/>
          <w:sz w:val="20"/>
        </w:rPr>
      </w:pPr>
      <w:r>
        <w:rPr>
          <w:rFonts w:cs="Times New Roman" w:ascii="Times New Roman" w:hAnsi="Times New Roman"/>
          <w:sz w:val="20"/>
        </w:rPr>
      </w:r>
    </w:p>
    <w:p>
      <w:pPr>
        <w:pStyle w:val="Normal"/>
        <w:jc w:val="both"/>
        <w:rPr/>
      </w:pPr>
      <w:r>
        <w:rPr>
          <w:sz w:val="20"/>
        </w:rPr>
        <w:t>12.</w:t>
        <w:tab/>
      </w:r>
      <w:r>
        <w:rPr>
          <w:b/>
          <w:sz w:val="20"/>
          <w:u w:val="single"/>
        </w:rPr>
        <w:t>Miscellaneous</w:t>
      </w:r>
      <w:r>
        <w:rPr>
          <w:b/>
          <w:sz w:val="20"/>
        </w:rPr>
        <w:t>.</w:t>
      </w:r>
    </w:p>
    <w:p>
      <w:pPr>
        <w:pStyle w:val="Normal"/>
        <w:jc w:val="both"/>
        <w:rPr>
          <w:b/>
          <w:sz w:val="20"/>
          <w:u w:val="single"/>
        </w:rPr>
      </w:pPr>
      <w:r>
        <w:rPr>
          <w:b/>
          <w:sz w:val="20"/>
          <w:u w:val="single"/>
        </w:rPr>
      </w:r>
    </w:p>
    <w:p>
      <w:pPr>
        <w:pStyle w:val="Normal"/>
        <w:jc w:val="both"/>
        <w:rPr/>
      </w:pPr>
      <w:r>
        <w:rPr>
          <w:sz w:val="20"/>
        </w:rPr>
        <w:t>a)</w:t>
      </w:r>
      <w:r>
        <w:rPr>
          <w:b/>
          <w:sz w:val="20"/>
        </w:rPr>
        <w:t xml:space="preserve"> </w:t>
      </w:r>
      <w:r>
        <w:rPr>
          <w:b/>
          <w:sz w:val="20"/>
          <w:u w:val="single"/>
        </w:rPr>
        <w:t>Additional Representations.</w:t>
      </w:r>
      <w:r>
        <w:rPr>
          <w:sz w:val="20"/>
        </w:rPr>
        <w:t xml:space="preserve"> For the purpose of Section 3 of the ISDA Agreement, Counterparty further represents and warrants to ENA (which representations will be deemed repeated by Counterparty at all times until the termination of the Transaction) that:</w:t>
      </w:r>
    </w:p>
    <w:p>
      <w:pPr>
        <w:pStyle w:val="Level3"/>
        <w:numPr>
          <w:ilvl w:val="2"/>
          <w:numId w:val="2"/>
        </w:numPr>
        <w:rPr>
          <w:sz w:val="20"/>
        </w:rPr>
      </w:pPr>
      <w:r>
        <w:rPr>
          <w:sz w:val="20"/>
        </w:rPr>
      </w:r>
    </w:p>
    <w:p>
      <w:pPr>
        <w:pStyle w:val="Normal"/>
        <w:ind w:hanging="720" w:start="1440" w:end="0"/>
        <w:jc w:val="both"/>
        <w:rPr/>
      </w:pPr>
      <w:r>
        <w:rPr>
          <w:sz w:val="20"/>
        </w:rPr>
        <w:t>(i)</w:t>
        <w:tab/>
      </w:r>
      <w:r>
        <w:rPr>
          <w:b/>
          <w:sz w:val="20"/>
        </w:rPr>
        <w:t>Non-Speculation.</w:t>
      </w:r>
      <w:r>
        <w:rPr>
          <w:sz w:val="20"/>
        </w:rPr>
        <w:t xml:space="preserve">  This Agreement and each Transaction has been and will be, entered into not for the purpose of speculation but solely in connection with the financing activities of Counterparty, including, without limitation, increasing the predictability of cash flow, including earnings on invested funds, and otherwise improving Counterparty’s ability to manage its funds and revenues.</w:t>
      </w:r>
    </w:p>
    <w:p>
      <w:pPr>
        <w:pStyle w:val="Normal"/>
        <w:ind w:hanging="720" w:start="1440" w:end="0"/>
        <w:jc w:val="both"/>
        <w:rPr>
          <w:sz w:val="20"/>
        </w:rPr>
      </w:pPr>
      <w:r>
        <w:rPr>
          <w:sz w:val="20"/>
        </w:rPr>
      </w:r>
    </w:p>
    <w:p>
      <w:pPr>
        <w:pStyle w:val="Normal"/>
        <w:ind w:hanging="720" w:start="1440" w:end="0"/>
        <w:jc w:val="both"/>
        <w:rPr/>
      </w:pPr>
      <w:r>
        <w:rPr>
          <w:sz w:val="20"/>
        </w:rPr>
        <w:t>(ii)</w:t>
        <w:tab/>
      </w:r>
      <w:r>
        <w:rPr>
          <w:b/>
          <w:sz w:val="20"/>
        </w:rPr>
        <w:t>No Immunity.</w:t>
      </w:r>
      <w:r>
        <w:rPr>
          <w:sz w:val="20"/>
        </w:rPr>
        <w:t xml:space="preserve">  It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this Agreement in the courts of any jurisdiction, and no such immunity (whether or not claimed) may be attributed to such party or its revenues or assets.</w:t>
      </w:r>
    </w:p>
    <w:p>
      <w:pPr>
        <w:pStyle w:val="Normal"/>
        <w:ind w:hanging="720" w:start="1440" w:end="0"/>
        <w:jc w:val="both"/>
        <w:rPr>
          <w:sz w:val="20"/>
        </w:rPr>
      </w:pPr>
      <w:r>
        <w:rPr>
          <w:sz w:val="20"/>
        </w:rPr>
      </w:r>
    </w:p>
    <w:p>
      <w:pPr>
        <w:pStyle w:val="Normal"/>
        <w:ind w:hanging="720" w:start="1440" w:end="0"/>
        <w:jc w:val="both"/>
        <w:rPr/>
      </w:pPr>
      <w:r>
        <w:rPr>
          <w:sz w:val="20"/>
        </w:rPr>
        <w:t>(iii)</w:t>
        <w:tab/>
      </w:r>
      <w:r>
        <w:rPr>
          <w:b/>
          <w:sz w:val="20"/>
        </w:rPr>
        <w:t>Legal Investment.</w:t>
      </w:r>
      <w:r>
        <w:rPr>
          <w:sz w:val="20"/>
        </w:rPr>
        <w:t xml:space="preserve">  This Agreement and each Transaction hereunder do not constitute any kind of investment by Counterparty that is proscribed by any constitution, charter, law, rule, regulation, investment guideline, restriction or policy, government code, constituent or governing instrument, resolution, guideline, ordinance, order, writ, judgment, decree, charge, or ruling to which Counterparty (or any of its officials in their respective capacities as such) or its property or revenues is subject.</w:t>
      </w:r>
    </w:p>
    <w:p>
      <w:pPr>
        <w:pStyle w:val="Normal"/>
        <w:ind w:hanging="720" w:start="1440" w:end="0"/>
        <w:jc w:val="both"/>
        <w:rPr>
          <w:sz w:val="20"/>
        </w:rPr>
      </w:pPr>
      <w:r>
        <w:rPr>
          <w:sz w:val="20"/>
        </w:rPr>
      </w:r>
    </w:p>
    <w:p>
      <w:pPr>
        <w:pStyle w:val="Normal"/>
        <w:ind w:hanging="720" w:start="1440" w:end="0"/>
        <w:jc w:val="both"/>
        <w:rPr/>
      </w:pPr>
      <w:r>
        <w:rPr>
          <w:sz w:val="20"/>
        </w:rPr>
        <w:t>(iv)</w:t>
        <w:tab/>
      </w:r>
      <w:r>
        <w:rPr>
          <w:b/>
          <w:sz w:val="20"/>
        </w:rPr>
        <w:t>Assets of Counterparty.</w:t>
      </w:r>
      <w:r>
        <w:rPr>
          <w:sz w:val="20"/>
        </w:rPr>
        <w:t xml:space="preserve">  No Affiliate or other person, firm, corporation, entity or association may liquidate, borrow, encumber or otherwise utilize the assets (including without limitation the source of funds) of Counterparty.</w:t>
      </w:r>
    </w:p>
    <w:p>
      <w:pPr>
        <w:pStyle w:val="Normal"/>
        <w:ind w:hanging="720" w:start="1440" w:end="0"/>
        <w:jc w:val="both"/>
        <w:rPr>
          <w:sz w:val="20"/>
        </w:rPr>
      </w:pPr>
      <w:r>
        <w:rPr>
          <w:sz w:val="20"/>
        </w:rPr>
      </w:r>
    </w:p>
    <w:p>
      <w:pPr>
        <w:pStyle w:val="Normal"/>
        <w:ind w:hanging="720" w:start="1440" w:end="0"/>
        <w:jc w:val="both"/>
        <w:rPr/>
      </w:pPr>
      <w:r>
        <w:rPr>
          <w:sz w:val="20"/>
        </w:rPr>
        <w:t>(v)</w:t>
        <w:tab/>
      </w:r>
      <w:r>
        <w:rPr>
          <w:b/>
          <w:sz w:val="20"/>
        </w:rPr>
        <w:t>Organization.</w:t>
      </w:r>
      <w:r>
        <w:rPr>
          <w:sz w:val="20"/>
        </w:rPr>
        <w:t xml:space="preserve">  Counterparty is a state or political subdivision thereof, or an instrumentality, agency or department of either of the foregoing.</w:t>
      </w:r>
    </w:p>
    <w:p>
      <w:pPr>
        <w:pStyle w:val="Normal"/>
        <w:ind w:hanging="720" w:start="1440" w:end="0"/>
        <w:jc w:val="both"/>
        <w:rPr>
          <w:sz w:val="20"/>
        </w:rPr>
      </w:pPr>
      <w:r>
        <w:rPr>
          <w:sz w:val="20"/>
        </w:rPr>
      </w:r>
    </w:p>
    <w:p>
      <w:pPr>
        <w:pStyle w:val="Normal"/>
        <w:ind w:hanging="720" w:start="1440" w:end="0"/>
        <w:jc w:val="both"/>
        <w:rPr/>
      </w:pPr>
      <w:r>
        <w:rPr>
          <w:sz w:val="20"/>
        </w:rPr>
        <w:t>(vi)</w:t>
        <w:tab/>
      </w:r>
      <w:r>
        <w:rPr>
          <w:b/>
          <w:sz w:val="20"/>
        </w:rPr>
        <w:t>Investment Policies.</w:t>
      </w:r>
      <w:r>
        <w:rPr>
          <w:sz w:val="20"/>
        </w:rPr>
        <w:t xml:space="preserve">  It has clear investment policies, its personnel are fully trained in and knowledgeable of such investment policies, and such investment policies are subject to regular reviews.</w:t>
      </w:r>
    </w:p>
    <w:p>
      <w:pPr>
        <w:pStyle w:val="Normal"/>
        <w:ind w:hanging="720" w:start="1440" w:end="0"/>
        <w:jc w:val="both"/>
        <w:rPr>
          <w:sz w:val="20"/>
        </w:rPr>
      </w:pPr>
      <w:r>
        <w:rPr>
          <w:sz w:val="20"/>
        </w:rPr>
      </w:r>
    </w:p>
    <w:p>
      <w:pPr>
        <w:pStyle w:val="Normal"/>
        <w:ind w:hanging="720" w:start="1440" w:end="0"/>
        <w:jc w:val="both"/>
        <w:rPr/>
      </w:pPr>
      <w:r>
        <w:rPr>
          <w:sz w:val="20"/>
        </w:rPr>
        <w:t>(vii)</w:t>
        <w:tab/>
      </w:r>
      <w:r>
        <w:rPr>
          <w:b/>
          <w:sz w:val="20"/>
        </w:rPr>
        <w:t>Nature of Obligations.</w:t>
      </w:r>
      <w:r>
        <w:rPr>
          <w:sz w:val="20"/>
        </w:rPr>
        <w:t xml:space="preserve">  The obligations of Counterparty to make payments to ENA under this Agreement and each Transaction (a) are not subject to appropriation or similar action and (b) do not (1) constitute any kind of indebtedness of Counterparty or (2) create any kind of lien on or security interest in any property or revenues of Counterparty which, in either case (1) or (2), is proscribed by any constitution, charter, law, rule, regulation, investment guideline, restriction or policy, government code, constituent or governing instrument, resolution, guideline, ordinance, order, writ, judgment, decree, charge, or ruling to which Counterparty (or any of its officials in their respective capacities as such) or its property or revenues is subject.</w:t>
      </w:r>
    </w:p>
    <w:p>
      <w:pPr>
        <w:pStyle w:val="Normal"/>
        <w:ind w:hanging="720" w:start="1440" w:end="0"/>
        <w:jc w:val="both"/>
        <w:rPr>
          <w:sz w:val="20"/>
        </w:rPr>
      </w:pPr>
      <w:r>
        <w:rPr>
          <w:sz w:val="20"/>
        </w:rPr>
      </w:r>
    </w:p>
    <w:p>
      <w:pPr>
        <w:pStyle w:val="Normal"/>
        <w:rPr>
          <w:sz w:val="20"/>
        </w:rPr>
      </w:pPr>
      <w:r>
        <w:rPr>
          <w:sz w:val="20"/>
        </w:rPr>
      </w:r>
    </w:p>
    <w:p>
      <w:pPr>
        <w:pStyle w:val="Normal"/>
        <w:rPr/>
      </w:pPr>
      <w:r>
        <w:rPr>
          <w:sz w:val="20"/>
        </w:rPr>
        <w:t xml:space="preserve">b) </w:t>
      </w:r>
      <w:r>
        <w:rPr>
          <w:b/>
          <w:sz w:val="20"/>
          <w:u w:val="single"/>
        </w:rPr>
        <w:t>Legal Opinion.</w:t>
      </w:r>
      <w:r>
        <w:rPr>
          <w:sz w:val="20"/>
        </w:rPr>
        <w:t xml:space="preserve"> For the purpose of Section 4(a) of the ISDA Agreement, upon execution of this Confirmation, Counterparty agrees to deliver to ENA a Legal Opinion in substantially the form attached hereto as Exhibit 1.</w:t>
      </w:r>
    </w:p>
    <w:p>
      <w:pPr>
        <w:pStyle w:val="Normal"/>
        <w:jc w:val="both"/>
        <w:rPr>
          <w:sz w:val="20"/>
        </w:rPr>
      </w:pPr>
      <w:r>
        <w:rPr>
          <w:sz w:val="20"/>
        </w:rPr>
      </w:r>
    </w:p>
    <w:p>
      <w:pPr>
        <w:pStyle w:val="Normal"/>
        <w:jc w:val="both"/>
        <w:rPr/>
      </w:pPr>
      <w:r>
        <w:rPr>
          <w:sz w:val="20"/>
        </w:rPr>
        <w:t>c)</w:t>
      </w:r>
      <w:r>
        <w:rPr>
          <w:b/>
          <w:sz w:val="20"/>
        </w:rPr>
        <w:t xml:space="preserve"> </w:t>
      </w:r>
      <w:r>
        <w:rPr>
          <w:b/>
          <w:sz w:val="20"/>
          <w:u w:val="single"/>
        </w:rPr>
        <w:t>Authorization.</w:t>
      </w:r>
      <w:r>
        <w:rPr>
          <w:sz w:val="20"/>
        </w:rPr>
        <w:t xml:space="preserve"> For the purpose of Section 4(a) of the ISDA Agreement, upon execution of this Confirmation, Counterparty agrees to deliver to ENA: (A) a certified resolution of its board of directors or other governing body (i) authorizing this Confirmation and the Transaction contemplated hereby and (ii) authorizing a specified person(s) to execute and deliver on its behalf this Confirmation, and (B) certified copies of its: (i) charter, enabling statutes, and constitution or comparable legislation, creating or authorizing it, (ii) bylaws, (iii) other charter and constituent instruments, and (iv) investment policies, guidelines or restrictions. </w:t>
      </w:r>
    </w:p>
    <w:p>
      <w:pPr>
        <w:pStyle w:val="Normal"/>
        <w:jc w:val="both"/>
        <w:rPr>
          <w:sz w:val="20"/>
        </w:rPr>
      </w:pPr>
      <w:r>
        <w:rPr>
          <w:sz w:val="20"/>
        </w:rPr>
      </w:r>
    </w:p>
    <w:p>
      <w:pPr>
        <w:pStyle w:val="Normal"/>
        <w:jc w:val="both"/>
        <w:rPr/>
      </w:pPr>
      <w:r>
        <w:rPr>
          <w:sz w:val="20"/>
        </w:rPr>
        <w:t xml:space="preserve">13.  </w:t>
      </w:r>
      <w:r>
        <w:rPr>
          <w:b/>
          <w:sz w:val="20"/>
          <w:u w:val="single"/>
        </w:rPr>
        <w:t>Agreements</w:t>
      </w:r>
    </w:p>
    <w:p>
      <w:pPr>
        <w:pStyle w:val="Normal"/>
        <w:numPr>
          <w:ilvl w:val="0"/>
          <w:numId w:val="0"/>
        </w:numPr>
        <w:tabs>
          <w:tab w:val="left" w:pos="-1440" w:leader="none"/>
          <w:tab w:val="left" w:pos="720" w:leader="none"/>
          <w:tab w:val="left" w:pos="1440" w:leader="none"/>
          <w:tab w:val="left" w:pos="2160" w:leader="none"/>
        </w:tabs>
        <w:ind w:hanging="0" w:start="0"/>
        <w:rPr>
          <w:sz w:val="20"/>
        </w:rPr>
      </w:pPr>
      <w:r>
        <w:rPr>
          <w:sz w:val="20"/>
        </w:rPr>
        <w:t>(1) The introductory clause of Section 4 of the ISDA Agreement is hereby amended to read in its entirety as follows:--</w:t>
      </w:r>
    </w:p>
    <w:p>
      <w:pPr>
        <w:pStyle w:val="Normal"/>
        <w:ind w:start="720" w:end="0"/>
        <w:rPr>
          <w:sz w:val="20"/>
        </w:rPr>
      </w:pPr>
      <w:r>
        <w:rPr>
          <w:sz w:val="20"/>
        </w:rPr>
      </w:r>
    </w:p>
    <w:p>
      <w:pPr>
        <w:pStyle w:val="Normal"/>
        <w:ind w:start="720" w:end="0"/>
        <w:rPr>
          <w:sz w:val="20"/>
        </w:rPr>
      </w:pPr>
      <w:r>
        <w:rPr>
          <w:sz w:val="20"/>
        </w:rPr>
        <w:t xml:space="preserve">"Each party agrees with the other (or, in the case of Section 4(d) the Government Entity agrees with the other party) that, so long as either party has or may have any obligation under this Agreement or under any Credit Support Documents to which it is a party: " </w:t>
        <w:tab/>
      </w:r>
    </w:p>
    <w:p>
      <w:pPr>
        <w:pStyle w:val="Normal"/>
        <w:ind w:start="720" w:end="0"/>
        <w:rPr>
          <w:sz w:val="20"/>
        </w:rPr>
      </w:pPr>
      <w:r>
        <w:rPr>
          <w:sz w:val="20"/>
        </w:rPr>
      </w:r>
    </w:p>
    <w:p>
      <w:pPr>
        <w:pStyle w:val="Normal"/>
        <w:ind w:start="720" w:end="0"/>
        <w:rPr>
          <w:sz w:val="20"/>
        </w:rPr>
      </w:pPr>
      <w:r>
        <w:rPr>
          <w:sz w:val="20"/>
        </w:rPr>
        <w:t>(ii)</w:t>
        <w:tab/>
        <w:t>Section 4 of this Agreement is hereby amended by adding the following</w:t>
      </w:r>
    </w:p>
    <w:p>
      <w:pPr>
        <w:pStyle w:val="Normal"/>
        <w:ind w:start="720" w:end="0"/>
        <w:rPr>
          <w:sz w:val="20"/>
        </w:rPr>
      </w:pPr>
      <w:r>
        <w:rPr>
          <w:sz w:val="20"/>
        </w:rPr>
        <w:t>subsections "(d)" and "(e)" thereto:--</w:t>
      </w:r>
    </w:p>
    <w:p>
      <w:pPr>
        <w:pStyle w:val="Normal"/>
        <w:ind w:start="720" w:end="0"/>
        <w:rPr>
          <w:sz w:val="20"/>
        </w:rPr>
      </w:pPr>
      <w:r>
        <w:rPr>
          <w:sz w:val="20"/>
        </w:rPr>
      </w:r>
    </w:p>
    <w:p>
      <w:pPr>
        <w:pStyle w:val="Normal"/>
        <w:ind w:start="720" w:end="0"/>
        <w:rPr/>
      </w:pPr>
      <w:r>
        <w:rPr>
          <w:sz w:val="20"/>
        </w:rPr>
        <w:t>“</w:t>
      </w:r>
      <w:r>
        <w:rPr>
          <w:sz w:val="20"/>
        </w:rPr>
        <w:t xml:space="preserve">(d) </w:t>
      </w:r>
      <w:r>
        <w:rPr>
          <w:b/>
          <w:sz w:val="20"/>
        </w:rPr>
        <w:t xml:space="preserve">Notice of Incipient Illegality.  </w:t>
      </w:r>
      <w:r>
        <w:rPr>
          <w:sz w:val="20"/>
        </w:rPr>
        <w:t>If an Incipient Illegality occurs, the</w:t>
      </w:r>
    </w:p>
    <w:p>
      <w:pPr>
        <w:pStyle w:val="Normal"/>
        <w:ind w:start="720" w:end="0"/>
        <w:rPr>
          <w:sz w:val="20"/>
        </w:rPr>
      </w:pPr>
      <w:r>
        <w:rPr>
          <w:sz w:val="20"/>
        </w:rPr>
        <w:t xml:space="preserve"> </w:t>
      </w:r>
      <w:r>
        <w:rPr>
          <w:sz w:val="20"/>
        </w:rPr>
        <w:t>Government Entity will, promptly upon becoming aware of it, notify the other party, specifying the nature of that Incipient Illegality and will also give such other information about that Incipient Illegality as the other party may reasonably require.</w:t>
      </w:r>
    </w:p>
    <w:p>
      <w:pPr>
        <w:pStyle w:val="Normal"/>
        <w:ind w:start="720" w:end="0"/>
        <w:rPr>
          <w:sz w:val="20"/>
        </w:rPr>
      </w:pPr>
      <w:r>
        <w:rPr>
          <w:sz w:val="20"/>
        </w:rPr>
      </w:r>
    </w:p>
    <w:p>
      <w:pPr>
        <w:pStyle w:val="Normal"/>
        <w:ind w:start="720" w:end="0"/>
        <w:jc w:val="both"/>
        <w:rPr/>
      </w:pPr>
      <w:r>
        <w:rPr>
          <w:sz w:val="20"/>
        </w:rPr>
        <w:t xml:space="preserve">(e) </w:t>
        <w:tab/>
      </w:r>
      <w:r>
        <w:rPr>
          <w:b/>
          <w:sz w:val="20"/>
        </w:rPr>
        <w:t>Source of Payments.</w:t>
      </w:r>
      <w:r>
        <w:rPr>
          <w:sz w:val="20"/>
        </w:rPr>
        <w:t xml:space="preserve">  Counterparty agrees that its obligations hereunder are, and until the termination of this Agreement pursuant to the terms hereof shall remain, payable solely out of or from </w:t>
      </w:r>
      <w:r>
        <w:rPr>
          <w:i/>
          <w:sz w:val="20"/>
        </w:rPr>
        <w:t>[specify source of payments]</w:t>
      </w:r>
      <w:r>
        <w:rPr>
          <w:sz w:val="20"/>
        </w:rPr>
        <w:t>”</w:t>
      </w:r>
    </w:p>
    <w:p>
      <w:pPr>
        <w:pStyle w:val="Normal"/>
        <w:ind w:start="1440" w:end="0"/>
        <w:rPr>
          <w:sz w:val="20"/>
        </w:rPr>
      </w:pPr>
      <w:r>
        <w:rPr>
          <w:sz w:val="20"/>
        </w:rPr>
      </w:r>
    </w:p>
    <w:p>
      <w:pPr>
        <w:pStyle w:val="Normal"/>
        <w:tabs>
          <w:tab w:val="clear" w:pos="720"/>
          <w:tab w:val="left" w:pos="-1440" w:leader="none"/>
        </w:tabs>
        <w:ind w:hanging="720" w:start="720" w:end="0"/>
        <w:rPr/>
      </w:pPr>
      <w:r>
        <w:rPr>
          <w:sz w:val="20"/>
        </w:rPr>
        <w:t>14.</w:t>
        <w:tab/>
      </w:r>
      <w:r>
        <w:rPr>
          <w:b/>
          <w:sz w:val="20"/>
        </w:rPr>
        <w:t>Definitions.</w:t>
      </w:r>
      <w:r>
        <w:rPr>
          <w:sz w:val="20"/>
        </w:rPr>
        <w:t xml:space="preserve"> Section 12 of the ISDA Agreement is hereby amended to add or replace the following definitions in their appropriate alphabetical order:--</w:t>
      </w:r>
    </w:p>
    <w:p>
      <w:pPr>
        <w:pStyle w:val="Normal"/>
        <w:rPr>
          <w:sz w:val="20"/>
        </w:rPr>
      </w:pPr>
      <w:r>
        <w:rPr>
          <w:sz w:val="20"/>
        </w:rPr>
      </w:r>
    </w:p>
    <w:p>
      <w:pPr>
        <w:pStyle w:val="Normal"/>
        <w:ind w:hanging="720" w:start="1440" w:end="0"/>
        <w:rPr/>
      </w:pPr>
      <w:r>
        <w:rPr>
          <w:sz w:val="20"/>
        </w:rPr>
        <w:t>1.</w:t>
        <w:tab/>
      </w:r>
      <w:r>
        <w:rPr>
          <w:b/>
          <w:sz w:val="20"/>
        </w:rPr>
        <w:t>“Incipient Illegality”</w:t>
      </w:r>
      <w:r>
        <w:rPr>
          <w:sz w:val="20"/>
        </w:rPr>
        <w:t xml:space="preserve"> means (a) the enactment by any legislative body with competent jurisdiction over a Government Entity of legislation which, if adopted as law, would render unlawful (i) the performance by such Government Entity of any absolute or contingent obligation to make a payment or delivery or to receive a payment or delivery in respect of a Transaction or the compliance by such Government Entity with any other material provision of this Agreement relating to such Transaction or (ii) the performance by a Government Entity or a Credit Support Provider of such Government Entity of any contingent or other obligation which the Government Entity (or such Credit Support Provider) has under any Credit Support Document relating to such Transaction, (b) any assertion in any proceeding, forum or action by a Government Entity, in respect of such Government Entity or in respect of any entity located or organized under the laws of the state in which such Government Entity is located on the effect that performance under this Agreement or similar agreement s is unlawful or (c) the occurrence with respect to a Government Entity or any Credit Support Provider of such Government Entity of any event that constitutes an Illegality.</w:t>
      </w:r>
      <w:r>
        <w:rPr>
          <w:b/>
          <w:sz w:val="20"/>
        </w:rPr>
        <w:t>”</w:t>
      </w:r>
      <w:r>
        <w:rPr>
          <w:sz w:val="20"/>
        </w:rPr>
        <w:t xml:space="preserve">  </w:t>
      </w:r>
    </w:p>
    <w:p>
      <w:pPr>
        <w:pStyle w:val="Normal"/>
        <w:ind w:hanging="720" w:start="1440" w:end="0"/>
        <w:rPr>
          <w:sz w:val="20"/>
        </w:rPr>
      </w:pPr>
      <w:r>
        <w:rPr>
          <w:sz w:val="20"/>
        </w:rPr>
      </w:r>
    </w:p>
    <w:p>
      <w:pPr>
        <w:pStyle w:val="Normal"/>
        <w:ind w:hanging="720" w:start="1440" w:end="0"/>
        <w:rPr/>
      </w:pPr>
      <w:r>
        <w:rPr>
          <w:sz w:val="20"/>
        </w:rPr>
        <w:t>2.</w:t>
        <w:tab/>
      </w:r>
      <w:r>
        <w:rPr>
          <w:b/>
          <w:sz w:val="20"/>
        </w:rPr>
        <w:t xml:space="preserve">"Government Entity" </w:t>
      </w:r>
      <w:r>
        <w:rPr>
          <w:sz w:val="20"/>
        </w:rPr>
        <w:t>means Counterparty.</w:t>
      </w:r>
    </w:p>
    <w:p>
      <w:pPr>
        <w:pStyle w:val="Level3"/>
        <w:numPr>
          <w:ilvl w:val="2"/>
          <w:numId w:val="2"/>
        </w:numPr>
        <w:rPr>
          <w:sz w:val="20"/>
        </w:rPr>
      </w:pPr>
      <w:r>
        <w:rPr>
          <w:sz w:val="20"/>
        </w:rPr>
      </w:r>
    </w:p>
    <w:p>
      <w:pPr>
        <w:pStyle w:val="Normal"/>
        <w:rPr>
          <w:sz w:val="20"/>
        </w:rPr>
      </w:pPr>
      <w:r>
        <w:rPr>
          <w:sz w:val="20"/>
        </w:rPr>
        <w:t>15.</w:t>
        <w:tab/>
      </w:r>
      <w:r>
        <w:rPr>
          <w:b/>
          <w:sz w:val="20"/>
          <w:u w:val="single"/>
        </w:rPr>
        <w:t>Offices</w:t>
      </w:r>
      <w:r>
        <w:rPr>
          <w:b/>
          <w:sz w:val="20"/>
        </w:rPr>
        <w:t>.</w:t>
      </w:r>
    </w:p>
    <w:p>
      <w:pPr>
        <w:pStyle w:val="Normal"/>
        <w:keepNext w:val="true"/>
        <w:rPr>
          <w:sz w:val="20"/>
        </w:rPr>
      </w:pPr>
      <w:r>
        <w:rPr>
          <w:sz w:val="20"/>
        </w:rPr>
      </w:r>
    </w:p>
    <w:p>
      <w:pPr>
        <w:pStyle w:val="Normal"/>
        <w:keepNext w:val="true"/>
        <w:jc w:val="both"/>
        <w:rPr>
          <w:sz w:val="20"/>
        </w:rPr>
      </w:pPr>
      <w:r>
        <w:rPr>
          <w:sz w:val="20"/>
        </w:rPr>
        <w:tab/>
        <w:t>(a)</w:t>
        <w:tab/>
        <w:t>The office of Enron North America Corp. is and copies of any notices should be delivered to 1400 Smith Street, Houston, Texas 77002, Attention:  Director, Documentation Department, Facsimile No. (713) 646-4816; and to Attention: Assistant General Counsel, Trading Group - ENA, Facsimile No. (713) 646-4818, at the above address; and</w:t>
      </w:r>
    </w:p>
    <w:p>
      <w:pPr>
        <w:pStyle w:val="Normal"/>
        <w:jc w:val="both"/>
        <w:rPr>
          <w:sz w:val="20"/>
        </w:rPr>
      </w:pPr>
      <w:r>
        <w:rPr>
          <w:sz w:val="20"/>
        </w:rPr>
      </w:r>
    </w:p>
    <w:p>
      <w:pPr>
        <w:pStyle w:val="Normal"/>
        <w:jc w:val="both"/>
        <w:rPr>
          <w:sz w:val="20"/>
        </w:rPr>
      </w:pPr>
      <w:r>
        <w:rPr>
          <w:sz w:val="20"/>
        </w:rPr>
        <w:tab/>
        <w:t>(b)</w:t>
        <w:tab/>
        <w:t>The office of Counterparty is and copies of any notices should be delivered to: 500 East Foruth Avenue, Eugene, Oregon 97440, Attention: Scott Spettal, Facsimile No. (541) 341-1889.</w:t>
      </w:r>
    </w:p>
    <w:p>
      <w:pPr>
        <w:pStyle w:val="Normal"/>
        <w:jc w:val="both"/>
        <w:rPr>
          <w:sz w:val="20"/>
        </w:rPr>
      </w:pPr>
      <w:r>
        <w:rPr>
          <w:sz w:val="20"/>
        </w:rPr>
      </w:r>
    </w:p>
    <w:p>
      <w:pPr>
        <w:pStyle w:val="Normal"/>
        <w:keepNext w:val="true"/>
        <w:jc w:val="both"/>
        <w:rPr>
          <w:color w:val="FF0000"/>
          <w:sz w:val="20"/>
        </w:rPr>
      </w:pPr>
      <w:r>
        <w:rPr>
          <w:color w:val="FF0000"/>
          <w:sz w:val="20"/>
        </w:rPr>
      </w:r>
    </w:p>
    <w:p>
      <w:pPr>
        <w:pStyle w:val="Normal"/>
        <w:jc w:val="both"/>
        <w:rPr/>
      </w:pPr>
      <w:r>
        <w:rPr>
          <w:sz w:val="20"/>
        </w:rPr>
        <w:t>16.</w:t>
        <w:tab/>
      </w:r>
      <w:r>
        <w:rPr>
          <w:b/>
          <w:sz w:val="20"/>
          <w:u w:val="single"/>
        </w:rPr>
        <w:t>Additional Provisions For Commodity Derivatives Transactions</w:t>
      </w:r>
      <w:r>
        <w:rPr>
          <w:b/>
          <w:sz w:val="20"/>
        </w:rPr>
        <w:t>.</w:t>
      </w:r>
    </w:p>
    <w:p>
      <w:pPr>
        <w:pStyle w:val="Level3"/>
        <w:numPr>
          <w:ilvl w:val="2"/>
          <w:numId w:val="2"/>
        </w:numPr>
        <w:tabs>
          <w:tab w:val="clear" w:pos="720"/>
          <w:tab w:val="left" w:pos="1350" w:leader="none"/>
        </w:tabs>
        <w:rPr>
          <w:sz w:val="20"/>
        </w:rPr>
      </w:pPr>
      <w:r>
        <w:rPr>
          <w:b/>
          <w:sz w:val="20"/>
        </w:rPr>
      </w:r>
    </w:p>
    <w:p>
      <w:pPr>
        <w:pStyle w:val="Normal"/>
        <w:ind w:firstLine="720" w:end="0"/>
        <w:jc w:val="both"/>
        <w:rPr>
          <w:sz w:val="20"/>
        </w:rPr>
      </w:pPr>
      <w:r>
        <w:rPr>
          <w:sz w:val="20"/>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Paragraph 5 that are not otherwise defined shall have the meanings given to them in the Commodity Definitions.</w:t>
      </w:r>
    </w:p>
    <w:p>
      <w:pPr>
        <w:pStyle w:val="Normal"/>
        <w:ind w:firstLine="720" w:end="0"/>
        <w:jc w:val="both"/>
        <w:rPr>
          <w:sz w:val="20"/>
        </w:rPr>
      </w:pPr>
      <w:r>
        <w:rPr>
          <w:sz w:val="20"/>
        </w:rPr>
      </w:r>
    </w:p>
    <w:p>
      <w:pPr>
        <w:pStyle w:val="Normal"/>
        <w:ind w:firstLine="720" w:end="0"/>
        <w:jc w:val="both"/>
        <w:rPr>
          <w:sz w:val="20"/>
        </w:rPr>
      </w:pPr>
      <w:r>
        <w:rPr>
          <w:sz w:val="20"/>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0"/>
        </w:rPr>
      </w:pPr>
      <w:r>
        <w:rPr>
          <w:sz w:val="20"/>
        </w:rPr>
      </w:r>
    </w:p>
    <w:p>
      <w:pPr>
        <w:pStyle w:val="Normal"/>
        <w:ind w:firstLine="720" w:end="0"/>
        <w:jc w:val="both"/>
        <w:rPr>
          <w:sz w:val="20"/>
        </w:rPr>
      </w:pPr>
      <w:r>
        <w:rPr>
          <w:sz w:val="20"/>
        </w:rPr>
        <w:t>(c)</w:t>
        <w:tab/>
        <w:t>Section 7.4(c)(viii) of the Commodity Definitions is hereby amended by the addition of the following at the end thereof:</w:t>
      </w:r>
    </w:p>
    <w:p>
      <w:pPr>
        <w:pStyle w:val="Normal"/>
        <w:ind w:firstLine="720" w:end="0"/>
        <w:jc w:val="both"/>
        <w:rPr>
          <w:sz w:val="20"/>
        </w:rPr>
      </w:pPr>
      <w:r>
        <w:rPr>
          <w:sz w:val="20"/>
        </w:rPr>
      </w:r>
    </w:p>
    <w:p>
      <w:pPr>
        <w:pStyle w:val="Normal"/>
        <w:ind w:firstLine="720" w:start="720" w:end="0"/>
        <w:jc w:val="both"/>
        <w:rPr>
          <w:sz w:val="20"/>
        </w:rPr>
      </w:pPr>
      <w:r>
        <w:rPr>
          <w:sz w:val="20"/>
        </w:rPr>
        <w:t>“</w:t>
      </w:r>
      <w:r>
        <w:rPr>
          <w:sz w:val="20"/>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0"/>
        </w:rPr>
      </w:pPr>
      <w:r>
        <w:rPr>
          <w:sz w:val="20"/>
        </w:rPr>
      </w:r>
    </w:p>
    <w:p>
      <w:pPr>
        <w:pStyle w:val="Normal"/>
        <w:ind w:firstLine="720" w:end="0"/>
        <w:jc w:val="both"/>
        <w:rPr>
          <w:sz w:val="20"/>
        </w:rPr>
      </w:pPr>
      <w:r>
        <w:rPr>
          <w:sz w:val="20"/>
        </w:rPr>
        <w:t>(d)</w:t>
        <w:tab/>
        <w:t>Section 7.5(e) of the Commodity Definitions is hereby deleted.</w:t>
      </w:r>
    </w:p>
    <w:p>
      <w:pPr>
        <w:pStyle w:val="Normal"/>
        <w:ind w:firstLine="720" w:end="0"/>
        <w:jc w:val="both"/>
        <w:rPr>
          <w:sz w:val="20"/>
        </w:rPr>
      </w:pPr>
      <w:r>
        <w:rPr>
          <w:sz w:val="20"/>
        </w:rPr>
      </w:r>
    </w:p>
    <w:p>
      <w:pPr>
        <w:pStyle w:val="Normal"/>
        <w:ind w:firstLine="720" w:end="0"/>
        <w:jc w:val="both"/>
        <w:rPr>
          <w:sz w:val="20"/>
        </w:rPr>
      </w:pPr>
      <w:r>
        <w:rPr>
          <w:sz w:val="20"/>
        </w:rPr>
        <w:t>(e)</w:t>
        <w:tab/>
        <w:t>“Additional Market Disruption Events” shall apply only if so specified in the relevant Confirmation.</w:t>
      </w:r>
    </w:p>
    <w:p>
      <w:pPr>
        <w:pStyle w:val="Normal"/>
        <w:ind w:firstLine="720" w:end="0"/>
        <w:jc w:val="both"/>
        <w:rPr>
          <w:sz w:val="20"/>
        </w:rPr>
      </w:pPr>
      <w:r>
        <w:rPr>
          <w:sz w:val="20"/>
        </w:rPr>
      </w:r>
    </w:p>
    <w:p>
      <w:pPr>
        <w:pStyle w:val="BodyText2"/>
        <w:rPr/>
      </w:pPr>
      <w:r>
        <w:rPr/>
        <w:t>(f)</w:t>
        <w:tab/>
        <w:t>The following “Disruption Fallbacks” specified in Section 7.5(c) of the Commodity Definitions shall apply, in the following order, except as otherwise specified in the relevant Confirmation:</w:t>
      </w:r>
    </w:p>
    <w:p>
      <w:pPr>
        <w:pStyle w:val="Normal"/>
        <w:jc w:val="both"/>
        <w:rPr>
          <w:sz w:val="20"/>
        </w:rPr>
      </w:pPr>
      <w:r>
        <w:rPr>
          <w:sz w:val="20"/>
        </w:rPr>
      </w:r>
    </w:p>
    <w:p>
      <w:pPr>
        <w:pStyle w:val="Normal"/>
        <w:ind w:firstLine="720" w:start="1440" w:end="720"/>
        <w:jc w:val="both"/>
        <w:rPr>
          <w:sz w:val="20"/>
        </w:rPr>
      </w:pPr>
      <w:r>
        <w:rPr>
          <w:sz w:val="20"/>
        </w:rPr>
        <w:t>(i)</w:t>
        <w:tab/>
        <w:t>“Postponement”, with three (3) Commodity Business Days as the Maximum Days of Disruption;</w:t>
      </w:r>
    </w:p>
    <w:p>
      <w:pPr>
        <w:pStyle w:val="Normal"/>
        <w:ind w:firstLine="720" w:start="1440" w:end="720"/>
        <w:jc w:val="both"/>
        <w:rPr>
          <w:sz w:val="20"/>
        </w:rPr>
      </w:pPr>
      <w:r>
        <w:rPr>
          <w:sz w:val="20"/>
        </w:rPr>
      </w:r>
    </w:p>
    <w:p>
      <w:pPr>
        <w:pStyle w:val="Normal"/>
        <w:ind w:firstLine="720" w:start="1440" w:end="720"/>
        <w:jc w:val="both"/>
        <w:rPr>
          <w:sz w:val="20"/>
        </w:rPr>
      </w:pPr>
      <w:r>
        <w:rPr>
          <w:sz w:val="20"/>
        </w:rPr>
        <w:t>(ii)</w:t>
        <w:tab/>
        <w:t>“Fallback Reference Price” (if the relevant parties have specified an alternate Commodity Reference Price in the Confirmation);</w:t>
      </w:r>
    </w:p>
    <w:p>
      <w:pPr>
        <w:pStyle w:val="Normal"/>
        <w:ind w:firstLine="720" w:start="1440" w:end="720"/>
        <w:jc w:val="both"/>
        <w:rPr>
          <w:sz w:val="20"/>
        </w:rPr>
      </w:pPr>
      <w:r>
        <w:rPr>
          <w:sz w:val="20"/>
        </w:rPr>
      </w:r>
    </w:p>
    <w:p>
      <w:pPr>
        <w:pStyle w:val="Normal"/>
        <w:ind w:firstLine="720" w:start="1440" w:end="720"/>
        <w:jc w:val="both"/>
        <w:rPr>
          <w:sz w:val="20"/>
        </w:rPr>
      </w:pPr>
      <w:r>
        <w:rPr>
          <w:sz w:val="20"/>
        </w:rPr>
        <w:t>(iii)</w:t>
        <w:tab/>
        <w:t>“Negotiated Fallback” (provided that the reference in Section 7.5(c)(ii) to “fifth Business Day” shall be amended to be “twelfth Business Day”); and</w:t>
      </w:r>
    </w:p>
    <w:p>
      <w:pPr>
        <w:pStyle w:val="Normal"/>
        <w:ind w:firstLine="720" w:start="1440" w:end="720"/>
        <w:jc w:val="both"/>
        <w:rPr>
          <w:sz w:val="20"/>
        </w:rPr>
      </w:pPr>
      <w:r>
        <w:rPr>
          <w:sz w:val="20"/>
        </w:rPr>
      </w:r>
    </w:p>
    <w:p>
      <w:pPr>
        <w:pStyle w:val="Normal"/>
        <w:keepNext w:val="true"/>
        <w:ind w:firstLine="720" w:start="1440" w:end="0"/>
        <w:jc w:val="both"/>
        <w:rPr>
          <w:sz w:val="20"/>
        </w:rPr>
      </w:pPr>
      <w:r>
        <w:rPr>
          <w:sz w:val="20"/>
        </w:rPr>
        <w:t>(iv)</w:t>
        <w:tab/>
        <w:t>The Relevant Price will be determined and calculated as set forth in the definition of “Commodity-Reference Dealers”, however, notwithstanding any reference to the number of Specified Prices in such definition, ENA shall obtain in good faith quotations from two (2) leading dealers in the relevant market and the price for that Pricing Date will be the arithmetic mean of the Specified Prices.</w:t>
      </w:r>
    </w:p>
    <w:p>
      <w:pPr>
        <w:pStyle w:val="Normal"/>
        <w:keepNext w:val="true"/>
        <w:jc w:val="both"/>
        <w:rPr>
          <w:color w:val="FF0000"/>
          <w:sz w:val="20"/>
        </w:rPr>
      </w:pPr>
      <w:r>
        <w:rPr>
          <w:color w:val="FF0000"/>
          <w:sz w:val="20"/>
        </w:rPr>
      </w:r>
    </w:p>
    <w:p>
      <w:pPr>
        <w:pStyle w:val="Normal"/>
        <w:keepNext w:val="true"/>
        <w:jc w:val="both"/>
        <w:rPr>
          <w:b/>
          <w:sz w:val="20"/>
          <w:u w:val="single"/>
        </w:rPr>
      </w:pPr>
      <w:r>
        <w:rPr>
          <w:sz w:val="20"/>
        </w:rPr>
        <w:t>17.</w:t>
        <w:tab/>
      </w:r>
      <w:r>
        <w:rPr>
          <w:b/>
          <w:sz w:val="20"/>
          <w:u w:val="single"/>
        </w:rPr>
        <w:t>Credit or Other Special Provisions</w:t>
      </w:r>
      <w:r>
        <w:rPr>
          <w:b/>
          <w:sz w:val="20"/>
        </w:rPr>
        <w:t>.</w:t>
      </w:r>
    </w:p>
    <w:p>
      <w:pPr>
        <w:pStyle w:val="Normal"/>
        <w:keepNext w:val="true"/>
        <w:jc w:val="both"/>
        <w:rPr>
          <w:b/>
          <w:sz w:val="20"/>
          <w:u w:val="single"/>
        </w:rPr>
      </w:pPr>
      <w:r>
        <w:rPr>
          <w:b/>
          <w:sz w:val="20"/>
          <w:u w:val="single"/>
        </w:rPr>
      </w:r>
    </w:p>
    <w:p>
      <w:pPr>
        <w:pStyle w:val="Normal"/>
        <w:keepNext w:val="true"/>
        <w:jc w:val="both"/>
        <w:rPr>
          <w:sz w:val="20"/>
        </w:rPr>
      </w:pPr>
      <w:r>
        <w:rPr>
          <w:sz w:val="20"/>
        </w:rPr>
        <w:tab/>
        <w:t>The credit or other special provisions contained in Annex B and Annex B-1 hereto and made a part hereof apply and are incorporated herein by reference, such that the term “Confirmation” as used herein and in the Annex attached hereto, shall refer to and mean, this Confirmation, together with all of the Annexes attached hereto.</w:t>
      </w:r>
    </w:p>
    <w:p>
      <w:pPr>
        <w:pStyle w:val="Normal"/>
        <w:jc w:val="both"/>
        <w:rPr>
          <w:sz w:val="20"/>
        </w:rPr>
      </w:pPr>
      <w:r>
        <w:rPr>
          <w:sz w:val="20"/>
        </w:rPr>
      </w:r>
    </w:p>
    <w:p>
      <w:pPr>
        <w:pStyle w:val="BodyText"/>
        <w:rPr>
          <w:rFonts w:ascii="Times New Roman" w:hAnsi="Times New Roman" w:cs="Times New Roman"/>
          <w:sz w:val="20"/>
        </w:rPr>
      </w:pPr>
      <w:r>
        <w:rPr>
          <w:rFonts w:cs="Times New Roman" w:ascii="Times New Roman" w:hAnsi="Times New Roman"/>
          <w:sz w:val="20"/>
        </w:rPr>
        <w:t>Please promptly confirm that the foregoing correctly sets forth the terms of the Transaction entered into between us by executing the copy of this Confirmation and returning it to us within one Business Day of receipt hereof via Facsimile to (713) 646-2443, Attention:  Director, Documentation Dept.  A copy of the originally executed Confirmation should be sent to us by overnight delivery for receipt within two Business Days of receipt hereof.</w:t>
      </w:r>
    </w:p>
    <w:p>
      <w:pPr>
        <w:pStyle w:val="Normal"/>
        <w:jc w:val="both"/>
        <w:rPr>
          <w:sz w:val="20"/>
        </w:rPr>
      </w:pPr>
      <w:r>
        <w:rPr>
          <w:sz w:val="20"/>
        </w:rPr>
        <w:t>Enron North America Corp. is pleased to have entered into this Transaction with you.</w:t>
      </w:r>
    </w:p>
    <w:p>
      <w:pPr>
        <w:pStyle w:val="Normal"/>
        <w:rPr>
          <w:sz w:val="20"/>
        </w:rPr>
      </w:pPr>
      <w:r>
        <w:rPr>
          <w:sz w:val="20"/>
        </w:rPr>
      </w:r>
    </w:p>
    <w:p>
      <w:pPr>
        <w:pStyle w:val="Normal"/>
        <w:rPr>
          <w:sz w:val="20"/>
        </w:rPr>
      </w:pPr>
      <w:r>
        <w:rPr>
          <w:sz w:val="20"/>
        </w:rPr>
        <w:t>Sincerely,</w:t>
      </w:r>
    </w:p>
    <w:p>
      <w:pPr>
        <w:pStyle w:val="Normal"/>
        <w:rPr>
          <w:sz w:val="20"/>
        </w:rPr>
      </w:pPr>
      <w:r>
        <w:rPr>
          <w:sz w:val="20"/>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0"/>
              </w:rPr>
            </w:pPr>
            <w:r>
              <w:rPr>
                <w:sz w:val="20"/>
              </w:rPr>
              <w:fldChar w:fldCharType="begin"/>
            </w:r>
            <w:r>
              <w:rPr>
                <w:sz w:val="20"/>
              </w:rPr>
              <w:instrText xml:space="preserve"> MERGEFIELD EnronEntityName </w:instrText>
            </w:r>
            <w:r>
              <w:rPr>
                <w:sz w:val="20"/>
              </w:rPr>
              <w:fldChar w:fldCharType="separate"/>
            </w:r>
            <w:r>
              <w:rPr>
                <w:sz w:val="20"/>
              </w:rPr>
              <w:t>Enron North America Corp.</w:t>
            </w:r>
            <w:r>
              <w:rPr>
                <w:sz w:val="20"/>
              </w:rPr>
              <w:fldChar w:fldCharType="end"/>
            </w:r>
          </w:p>
        </w:tc>
        <w:tc>
          <w:tcPr>
            <w:tcW w:w="6012" w:type="dxa"/>
            <w:tcBorders/>
          </w:tcPr>
          <w:p>
            <w:pPr>
              <w:pStyle w:val="Normal"/>
              <w:rPr>
                <w:sz w:val="20"/>
              </w:rPr>
            </w:pPr>
            <w:r>
              <w:rPr>
                <w:sz w:val="20"/>
              </w:rPr>
              <w:fldChar w:fldCharType="begin"/>
            </w:r>
            <w:r>
              <w:rPr>
                <w:sz w:val="20"/>
              </w:rPr>
              <w:instrText xml:space="preserve"> MERGEFIELD CounterpartyName </w:instrText>
            </w:r>
            <w:r>
              <w:rPr>
                <w:sz w:val="20"/>
              </w:rPr>
              <w:fldChar w:fldCharType="separate"/>
            </w:r>
            <w:r>
              <w:rPr>
                <w:sz w:val="20"/>
              </w:rPr>
              <w:t>Eugene Water &amp; Electric Board</w:t>
            </w:r>
            <w:r>
              <w:rPr>
                <w:sz w:val="20"/>
              </w:rPr>
              <w:fldChar w:fldCharType="end"/>
            </w:r>
          </w:p>
        </w:tc>
      </w:tr>
    </w:tbl>
    <w:p>
      <w:pPr>
        <w:pStyle w:val="Normal"/>
        <w:rPr>
          <w:sz w:val="20"/>
        </w:rPr>
      </w:pPr>
      <w:r>
        <w:rPr>
          <w:sz w:val="20"/>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0"/>
              </w:rPr>
            </w:pPr>
            <w:r>
              <w:rPr>
                <w:sz w:val="20"/>
              </w:rPr>
              <w:t xml:space="preserve">             </w:t>
            </w:r>
            <w:r>
              <w:rPr>
                <w:sz w:val="20"/>
              </w:rPr>
              <w:fldChar w:fldCharType="begin"/>
            </w:r>
            <w:r>
              <w:rPr>
                <w:sz w:val="20"/>
              </w:rPr>
              <w:instrText xml:space="preserve"> MERGEFIELD SignatureGoesHere </w:instrText>
            </w:r>
            <w:r>
              <w:rPr>
                <w:sz w:val="20"/>
              </w:rPr>
              <w:fldChar w:fldCharType="separate"/>
            </w:r>
            <w:r>
              <w:rPr>
                <w:sz w:val="20"/>
              </w:rPr>
              <w:t xml:space="preserve"> </w:t>
              <w:br/>
            </w:r>
            <w:r>
              <w:rPr>
                <w:sz w:val="20"/>
              </w:rPr>
              <w:fldChar w:fldCharType="end"/>
            </w:r>
          </w:p>
        </w:tc>
        <w:tc>
          <w:tcPr>
            <w:tcW w:w="6012" w:type="dxa"/>
            <w:tcBorders/>
          </w:tcPr>
          <w:p>
            <w:pPr>
              <w:pStyle w:val="Normal"/>
              <w:snapToGrid w:val="false"/>
              <w:rPr>
                <w:sz w:val="20"/>
              </w:rPr>
            </w:pPr>
            <w:r>
              <w:rPr>
                <w:sz w:val="20"/>
              </w:rPr>
            </w:r>
          </w:p>
        </w:tc>
      </w:tr>
      <w:tr>
        <w:trPr/>
        <w:tc>
          <w:tcPr>
            <w:tcW w:w="4428" w:type="dxa"/>
            <w:tcBorders/>
          </w:tcPr>
          <w:p>
            <w:pPr>
              <w:pStyle w:val="Normal"/>
              <w:rPr>
                <w:sz w:val="20"/>
              </w:rPr>
            </w:pPr>
            <w:r>
              <w:rPr>
                <w:sz w:val="20"/>
              </w:rPr>
              <w:t>By:</w:t>
            </w:r>
          </w:p>
        </w:tc>
        <w:tc>
          <w:tcPr>
            <w:tcW w:w="6012" w:type="dxa"/>
            <w:tcBorders/>
          </w:tcPr>
          <w:p>
            <w:pPr>
              <w:pStyle w:val="Normal"/>
              <w:rPr>
                <w:sz w:val="20"/>
                <w:u w:val="single"/>
              </w:rPr>
            </w:pPr>
            <w:r>
              <w:rPr>
                <w:sz w:val="20"/>
              </w:rPr>
              <w:t>By: ____________________________</w:t>
            </w:r>
          </w:p>
        </w:tc>
      </w:tr>
      <w:tr>
        <w:trPr/>
        <w:tc>
          <w:tcPr>
            <w:tcW w:w="4428" w:type="dxa"/>
            <w:tcBorders/>
          </w:tcPr>
          <w:p>
            <w:pPr>
              <w:pStyle w:val="Normal"/>
              <w:rPr>
                <w:sz w:val="20"/>
              </w:rPr>
            </w:pPr>
            <w:r>
              <w:rPr>
                <w:sz w:val="20"/>
              </w:rPr>
              <w:t xml:space="preserve">Name:  </w:t>
            </w:r>
            <w:r>
              <w:rPr>
                <w:sz w:val="20"/>
              </w:rPr>
              <w:fldChar w:fldCharType="begin"/>
            </w:r>
            <w:r>
              <w:rPr>
                <w:sz w:val="20"/>
              </w:rPr>
              <w:instrText xml:space="preserve"> MERGEFIELD SignerName </w:instrText>
            </w:r>
            <w:r>
              <w:rPr>
                <w:sz w:val="20"/>
              </w:rPr>
              <w:fldChar w:fldCharType="separate"/>
            </w:r>
            <w:r>
              <w:rPr>
                <w:sz w:val="20"/>
              </w:rPr>
              <w:t>Tim Belden</w:t>
            </w:r>
            <w:r>
              <w:rPr>
                <w:sz w:val="20"/>
              </w:rPr>
              <w:fldChar w:fldCharType="end"/>
            </w:r>
          </w:p>
        </w:tc>
        <w:tc>
          <w:tcPr>
            <w:tcW w:w="6012" w:type="dxa"/>
            <w:tcBorders/>
          </w:tcPr>
          <w:p>
            <w:pPr>
              <w:pStyle w:val="Normal"/>
              <w:rPr>
                <w:sz w:val="20"/>
              </w:rPr>
            </w:pPr>
            <w:r>
              <w:rPr>
                <w:sz w:val="20"/>
              </w:rPr>
              <w:t>Name:  _________________________</w:t>
            </w:r>
          </w:p>
        </w:tc>
      </w:tr>
      <w:tr>
        <w:trPr/>
        <w:tc>
          <w:tcPr>
            <w:tcW w:w="4428" w:type="dxa"/>
            <w:tcBorders/>
          </w:tcPr>
          <w:p>
            <w:pPr>
              <w:pStyle w:val="Normal"/>
              <w:rPr>
                <w:sz w:val="20"/>
              </w:rPr>
            </w:pPr>
            <w:r>
              <w:rPr>
                <w:sz w:val="20"/>
              </w:rPr>
              <w:t xml:space="preserve">Title:    </w:t>
            </w:r>
            <w:r>
              <w:rPr>
                <w:sz w:val="20"/>
              </w:rPr>
              <w:fldChar w:fldCharType="begin"/>
            </w:r>
            <w:r>
              <w:rPr>
                <w:sz w:val="20"/>
              </w:rPr>
              <w:instrText xml:space="preserve"> MERGEFIELD SignerTitle </w:instrText>
            </w:r>
            <w:r>
              <w:rPr>
                <w:sz w:val="20"/>
              </w:rPr>
              <w:fldChar w:fldCharType="separate"/>
            </w:r>
            <w:r>
              <w:rPr>
                <w:sz w:val="20"/>
              </w:rPr>
              <w:t>Vice President</w:t>
            </w:r>
            <w:r>
              <w:rPr>
                <w:sz w:val="20"/>
              </w:rPr>
              <w:fldChar w:fldCharType="end"/>
            </w:r>
          </w:p>
        </w:tc>
        <w:tc>
          <w:tcPr>
            <w:tcW w:w="6012" w:type="dxa"/>
            <w:tcBorders/>
          </w:tcPr>
          <w:p>
            <w:pPr>
              <w:pStyle w:val="Normal"/>
              <w:rPr>
                <w:sz w:val="20"/>
              </w:rPr>
            </w:pPr>
            <w:r>
              <w:rPr>
                <w:sz w:val="20"/>
              </w:rPr>
              <w:t>Title:  __________________________</w:t>
            </w:r>
          </w:p>
        </w:tc>
      </w:tr>
      <w:tr>
        <w:trPr/>
        <w:tc>
          <w:tcPr>
            <w:tcW w:w="4428" w:type="dxa"/>
            <w:tcBorders/>
          </w:tcPr>
          <w:p>
            <w:pPr>
              <w:pStyle w:val="Normal"/>
              <w:rPr>
                <w:sz w:val="20"/>
              </w:rPr>
            </w:pPr>
            <w:r>
              <w:rPr>
                <w:sz w:val="20"/>
              </w:rPr>
              <w:t xml:space="preserve">Date:    </w:t>
            </w:r>
            <w:r>
              <w:rPr>
                <w:sz w:val="20"/>
              </w:rPr>
              <w:fldChar w:fldCharType="begin"/>
            </w:r>
            <w:r>
              <w:rPr>
                <w:sz w:val="20"/>
              </w:rPr>
              <w:instrText xml:space="preserve"> MERGEFIELD DateToday </w:instrText>
            </w:r>
            <w:r>
              <w:rPr>
                <w:sz w:val="20"/>
              </w:rPr>
              <w:fldChar w:fldCharType="separate"/>
            </w:r>
            <w:r>
              <w:rPr>
                <w:sz w:val="20"/>
              </w:rPr>
              <w:t>November 22, 2000</w:t>
            </w:r>
            <w:r>
              <w:rPr>
                <w:sz w:val="20"/>
              </w:rPr>
              <w:fldChar w:fldCharType="end"/>
            </w:r>
          </w:p>
        </w:tc>
        <w:tc>
          <w:tcPr>
            <w:tcW w:w="6012" w:type="dxa"/>
            <w:tcBorders/>
          </w:tcPr>
          <w:p>
            <w:pPr>
              <w:pStyle w:val="Normal"/>
              <w:rPr>
                <w:sz w:val="20"/>
              </w:rPr>
            </w:pPr>
            <w:r>
              <w:rPr>
                <w:sz w:val="20"/>
              </w:rPr>
              <w:t>Date:  __________________________</w:t>
            </w:r>
          </w:p>
        </w:tc>
      </w:tr>
    </w:tbl>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keepNext w:val="true"/>
        <w:jc w:val="center"/>
        <w:rPr>
          <w:b/>
          <w:color w:val="000000"/>
          <w:sz w:val="20"/>
          <w:u w:val="single"/>
        </w:rPr>
      </w:pPr>
      <w:r>
        <w:rPr>
          <w:b/>
          <w:color w:val="000000"/>
          <w:sz w:val="20"/>
          <w:u w:val="single"/>
        </w:rPr>
        <w:t>EXHIBIT 1</w:t>
      </w:r>
    </w:p>
    <w:p>
      <w:pPr>
        <w:pStyle w:val="Normal"/>
        <w:jc w:val="center"/>
        <w:rPr>
          <w:b/>
          <w:color w:val="000000"/>
          <w:sz w:val="20"/>
          <w:u w:val="single"/>
        </w:rPr>
      </w:pPr>
      <w:r>
        <w:rPr>
          <w:b/>
          <w:color w:val="000000"/>
          <w:sz w:val="20"/>
          <w:u w:val="single"/>
        </w:rPr>
      </w:r>
    </w:p>
    <w:p>
      <w:pPr>
        <w:pStyle w:val="Normal"/>
        <w:jc w:val="center"/>
        <w:rPr>
          <w:sz w:val="20"/>
        </w:rPr>
      </w:pPr>
      <w:r>
        <w:rPr>
          <w:sz w:val="20"/>
        </w:rPr>
        <w:t>LEGAL OPINION</w:t>
      </w:r>
    </w:p>
    <w:p>
      <w:pPr>
        <w:pStyle w:val="Normal"/>
        <w:jc w:val="center"/>
        <w:rPr>
          <w:sz w:val="20"/>
        </w:rPr>
      </w:pPr>
      <w:r>
        <w:rPr>
          <w:sz w:val="20"/>
        </w:rPr>
      </w:r>
    </w:p>
    <w:p>
      <w:pPr>
        <w:pStyle w:val="Normal"/>
        <w:jc w:val="center"/>
        <w:rPr>
          <w:sz w:val="20"/>
        </w:rPr>
      </w:pPr>
      <w:r>
        <w:rPr>
          <w:sz w:val="20"/>
        </w:rPr>
      </w:r>
    </w:p>
    <w:p>
      <w:pPr>
        <w:pStyle w:val="Normal"/>
        <w:spacing w:before="0" w:after="720"/>
        <w:jc w:val="center"/>
        <w:rPr>
          <w:sz w:val="20"/>
        </w:rPr>
      </w:pPr>
      <w:r>
        <w:rPr>
          <w:sz w:val="20"/>
        </w:rPr>
        <w:t>[Letterhead of Counterparty’s Outside Legal Counsel]</w:t>
      </w:r>
    </w:p>
    <w:p>
      <w:pPr>
        <w:pStyle w:val="Normal"/>
        <w:spacing w:before="0" w:after="720"/>
        <w:jc w:val="center"/>
        <w:rPr>
          <w:sz w:val="20"/>
        </w:rPr>
      </w:pPr>
      <w:r>
        <w:rPr>
          <w:sz w:val="20"/>
        </w:rPr>
        <w:t>[Date]</w:t>
      </w:r>
    </w:p>
    <w:p>
      <w:pPr>
        <w:pStyle w:val="Normal"/>
        <w:rPr>
          <w:sz w:val="20"/>
        </w:rPr>
      </w:pPr>
      <w:r>
        <w:rPr>
          <w:sz w:val="20"/>
        </w:rPr>
        <w:t>Enron North America Corp.</w:t>
      </w:r>
    </w:p>
    <w:p>
      <w:pPr>
        <w:pStyle w:val="Normal"/>
        <w:rPr>
          <w:sz w:val="20"/>
        </w:rPr>
      </w:pPr>
      <w:r>
        <w:rPr>
          <w:sz w:val="20"/>
        </w:rPr>
        <w:t>1400 Smith Street</w:t>
      </w:r>
    </w:p>
    <w:p>
      <w:pPr>
        <w:pStyle w:val="Normal"/>
        <w:spacing w:before="0" w:after="240"/>
        <w:rPr>
          <w:sz w:val="20"/>
        </w:rPr>
      </w:pPr>
      <w:r>
        <w:rPr>
          <w:sz w:val="20"/>
        </w:rPr>
        <w:t>Houston, Texas  77002</w:t>
      </w:r>
    </w:p>
    <w:p>
      <w:pPr>
        <w:pStyle w:val="Normal"/>
        <w:spacing w:before="0" w:after="240"/>
        <w:ind w:hanging="720" w:start="2160" w:end="0"/>
        <w:rPr>
          <w:sz w:val="20"/>
        </w:rPr>
      </w:pPr>
      <w:r>
        <w:rPr>
          <w:sz w:val="20"/>
        </w:rPr>
        <w:t>Re:</w:t>
        <w:tab/>
        <w:t>Master Agreement between Enron North America Corp. (“Enron”) and [Name of Entity] (“Counterparty”)</w:t>
      </w:r>
    </w:p>
    <w:p>
      <w:pPr>
        <w:pStyle w:val="Normal"/>
        <w:spacing w:before="0" w:after="240"/>
        <w:rPr>
          <w:sz w:val="20"/>
        </w:rPr>
      </w:pPr>
      <w:r>
        <w:rPr>
          <w:sz w:val="20"/>
        </w:rPr>
        <w:t>Ladies and Gentlemen:</w:t>
      </w:r>
    </w:p>
    <w:p>
      <w:pPr>
        <w:pStyle w:val="Normal"/>
        <w:spacing w:before="0" w:after="240"/>
        <w:ind w:firstLine="1440" w:end="0"/>
        <w:jc w:val="both"/>
        <w:rPr>
          <w:sz w:val="20"/>
        </w:rPr>
      </w:pPr>
      <w:r>
        <w:rPr>
          <w:sz w:val="20"/>
        </w:rPr>
        <w:t>We are attorneys admitted to practice law in the [State][Country] of _______________ (the “Relevant Jurisdiction”), and we are generally familiar with the affairs of Counterparty.  We have examined and are familiar with (i) the documents relating to the creation, authorization, organization, existence, and operation of Counterparty, (ii) the ISDA Master Agreement, dated as of _______________, by and between Counterparty and Enron (together with the Schedule thereto, any other documents incorporated by reference therein or made a part thereof, [and any Credit Support Document to which Counterparty is a party,] collectively, the “Swap Agreement”), (iii) the Confirmation, dated _________________, by and between Counterparty and Enron (the “Confirmation”) (the Swap Agreement and the Confirmation, collectively, the “Agreement”), (iv) all necessary documentation of Counterparty relating to its authorization, execution, delivery, and performance of the Agreement and any other documentation relating to the Agreement to which it is a party, and (v) such other records, documents, and instruments as we deemed advisable.</w:t>
      </w:r>
    </w:p>
    <w:p>
      <w:pPr>
        <w:pStyle w:val="Normal"/>
        <w:spacing w:before="0" w:after="240"/>
        <w:ind w:firstLine="1440" w:end="0"/>
        <w:jc w:val="both"/>
        <w:rPr>
          <w:sz w:val="20"/>
        </w:rPr>
      </w:pPr>
      <w:r>
        <w:rPr>
          <w:sz w:val="20"/>
        </w:rPr>
        <w:t>Based upon the foregoing, we are of the opinion that:</w:t>
      </w:r>
    </w:p>
    <w:p>
      <w:pPr>
        <w:pStyle w:val="Normal"/>
        <w:spacing w:before="0" w:after="240"/>
        <w:ind w:firstLine="1440" w:end="0"/>
        <w:jc w:val="both"/>
        <w:rPr>
          <w:sz w:val="20"/>
        </w:rPr>
      </w:pPr>
      <w:r>
        <w:rPr>
          <w:sz w:val="20"/>
        </w:rPr>
        <w:t>1.</w:t>
        <w:tab/>
        <w:t>Counterparty is duly organized, validly existing, and in good standing under the constitution and laws of the Relevant Jurisdiction.</w:t>
      </w:r>
    </w:p>
    <w:p>
      <w:pPr>
        <w:pStyle w:val="Normal"/>
        <w:spacing w:before="0" w:after="240"/>
        <w:ind w:firstLine="1440" w:end="0"/>
        <w:jc w:val="both"/>
        <w:rPr>
          <w:sz w:val="20"/>
        </w:rPr>
      </w:pPr>
      <w:r>
        <w:rPr>
          <w:sz w:val="20"/>
        </w:rPr>
        <w:t>2.</w:t>
        <w:tab/>
        <w:t>Counterparty has the legal right and power, pursuant to [Name and General Citation of Relevant Act or Statutes] (the “Act”), to execute the Agreement and any other documentation relating to the Agreement to which it is a party, to deliver the Agreement and any other documentation relating to the Agreement that it is required by the Agreement to deliver, and to perform its obligations under the Agreement and any other documentation relating to the Agreement to which it is a party.  All necessary action and all necessary determinations and findings to authorize Counterparty’s execution, delivery, and performance of the Agreement, and any other documentation relating to the Agreement to which it is a party or that it is required by the Agreement to deliver, have been taken and made.  The individual(s) executing and delivering the Agreement, and any other documentation relating to the Agreement to which Counterparty is a party or that it is required under the Agreement to deliver, are duly empowered and authorized to do so.  Counterparty has duly authorized, executed, and delivered the Agreement, and any other documentation relating to the Agreement to which it is a party or that it is required under the Agreement to deliver.</w:t>
      </w:r>
    </w:p>
    <w:p>
      <w:pPr>
        <w:pStyle w:val="Normal"/>
        <w:spacing w:before="0" w:after="240"/>
        <w:ind w:firstLine="1440" w:end="0"/>
        <w:jc w:val="both"/>
        <w:rPr>
          <w:sz w:val="20"/>
        </w:rPr>
      </w:pPr>
      <w:r>
        <w:rPr>
          <w:sz w:val="20"/>
        </w:rPr>
        <w:t>3.</w:t>
        <w:tab/>
        <w:t>Such execution, delivery, and performance do not violate, conflict with, or constitute a breach or default under, any law applicable to Counterparty, any provision of its constitutional documents, any order or judgment of any court or agency of government applicable to it or any of its assets, or any contractual restriction binding on or affecting it or any of its assets.  Counterparty is not in violation or breach of, or default under, any law applicable to Counterparty, any provision of its constitutional documents, or any order or judgment of any court or agency of government applicable to it or any of its assets, which could adversely affect (i) the Agreement or any other documentation relating to the Agreement to which it is a party or that it is required by the Agreement to deliver, (ii) the legality, validity, binding effect, or enforceability thereof, (iii) the ability of Counterparty to perform its obligations thereunder, or (iv) the financial condition or operations of Counterparty.</w:t>
      </w:r>
    </w:p>
    <w:p>
      <w:pPr>
        <w:pStyle w:val="Normal"/>
        <w:spacing w:before="0" w:after="240"/>
        <w:ind w:firstLine="1440" w:end="0"/>
        <w:jc w:val="both"/>
        <w:rPr>
          <w:sz w:val="20"/>
        </w:rPr>
      </w:pPr>
      <w:r>
        <w:rPr>
          <w:sz w:val="20"/>
        </w:rPr>
        <w:t>4.</w:t>
        <w:tab/>
        <w:t>All governmental and other consents, approvals, registrations, licenses, or exemptions that are required to have been obtained by Counterparty with respect to the Agreement, or any other documentation relating to the Agreement to which it is a party or that it is required by the Agreement to deliver, have been obtained and are in full force and effect, and all conditions thereof have been complied with.</w:t>
      </w:r>
    </w:p>
    <w:p>
      <w:pPr>
        <w:pStyle w:val="Normal"/>
        <w:spacing w:before="0" w:after="240"/>
        <w:ind w:firstLine="1440" w:end="0"/>
        <w:jc w:val="both"/>
        <w:rPr>
          <w:sz w:val="20"/>
        </w:rPr>
      </w:pPr>
      <w:r>
        <w:rPr>
          <w:sz w:val="20"/>
        </w:rPr>
        <w:t>5.</w:t>
        <w:tab/>
        <w:t>The obligations of Counterparty under the Agreement, and any other documentation relating to the Agreement to which it is a party, constitute its legal, valid, and binding obligations, enforceable against Counterparty in accordance with their respective terms (subject to applicable bankruptcy, reorganization, insolvency, moratorium or similar laws affecting creditors’ rights generally and subject, as to enforceability, to equitable principles of general application (regardless of whether enforcement is sought in a proceeding in equity or at law)).</w:t>
      </w:r>
    </w:p>
    <w:p>
      <w:pPr>
        <w:pStyle w:val="Normal"/>
        <w:spacing w:before="0" w:after="240"/>
        <w:ind w:firstLine="1440" w:end="0"/>
        <w:jc w:val="both"/>
        <w:rPr>
          <w:sz w:val="20"/>
        </w:rPr>
      </w:pPr>
      <w:r>
        <w:rPr>
          <w:sz w:val="20"/>
        </w:rPr>
        <w:t>6.</w:t>
        <w:tab/>
        <w:t>There is not pending or, to our knowledge, threatened against Counterparty (nor to our knowledge is there any basis for), any action, suit, claim, inquiry, investigation, or proceeding at law or in equity or before any court, tribunal, governmental body, agency, official, or arbitrator that is likely to affect the legality, validity, or enforceability against Counterparty of the Agreement, or any other documentation relating to the Agreement to which it is a party, or Counterparty’s ability to perform its obligations under the Agreement or any other documentation relating to the Agreement to which it is a party.</w:t>
      </w:r>
    </w:p>
    <w:p>
      <w:pPr>
        <w:pStyle w:val="Normal"/>
        <w:spacing w:before="0" w:after="240"/>
        <w:ind w:firstLine="1440" w:end="0"/>
        <w:jc w:val="both"/>
        <w:rPr>
          <w:sz w:val="20"/>
        </w:rPr>
      </w:pPr>
      <w:r>
        <w:rPr>
          <w:sz w:val="20"/>
        </w:rPr>
        <w:t>7.</w:t>
        <w:tab/>
        <w:t>Counterparty is an “eligible swap participant” as defined in the Part 35 Regulations of the U.S. Commodity Futures Trading Commission.</w:t>
      </w:r>
    </w:p>
    <w:p>
      <w:pPr>
        <w:pStyle w:val="Normal"/>
        <w:spacing w:before="0" w:after="240"/>
        <w:ind w:firstLine="1440" w:end="0"/>
        <w:jc w:val="both"/>
        <w:rPr>
          <w:sz w:val="20"/>
        </w:rPr>
      </w:pPr>
      <w:r>
        <w:rPr>
          <w:sz w:val="20"/>
        </w:rPr>
        <w:t>8.</w:t>
        <w:tab/>
        <w:t>Counterparty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the Agreement in the courts of any jurisdiction, and no such immunity (whether or not claimed) may be attributed to Counterparty or its revenues or assets.</w:t>
      </w:r>
    </w:p>
    <w:p>
      <w:pPr>
        <w:pStyle w:val="Normal"/>
        <w:spacing w:before="0" w:after="240"/>
        <w:ind w:firstLine="1440" w:end="0"/>
        <w:jc w:val="both"/>
        <w:rPr>
          <w:sz w:val="20"/>
        </w:rPr>
      </w:pPr>
      <w:r>
        <w:rPr>
          <w:sz w:val="20"/>
        </w:rPr>
        <w:t>9.</w:t>
        <w:tab/>
        <w:t>The Agreement and each Transaction thereunder do not constitute any kind of investment by Counterparty that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p>
    <w:p>
      <w:pPr>
        <w:pStyle w:val="Normal"/>
        <w:spacing w:before="0" w:after="240"/>
        <w:ind w:firstLine="1440" w:end="0"/>
        <w:jc w:val="both"/>
        <w:rPr/>
      </w:pPr>
      <w:r>
        <w:rPr>
          <w:sz w:val="20"/>
        </w:rPr>
        <w:t>10.</w:t>
        <w:tab/>
        <w:t>No person, firm, corporation, entity, or association other than Counterparty may liquidate, borrow, encumber, or otherwise utilize the assets [(including, without limitation, the assets identified in [</w:t>
      </w:r>
      <w:r>
        <w:rPr>
          <w:i/>
          <w:sz w:val="20"/>
        </w:rPr>
        <w:t>[track language regarding assets of Counterparty in Schedule</w:t>
      </w:r>
      <w:r>
        <w:rPr>
          <w:sz w:val="20"/>
        </w:rPr>
        <w:t>)] of Counterparty.</w:t>
      </w:r>
    </w:p>
    <w:p>
      <w:pPr>
        <w:pStyle w:val="Normal"/>
        <w:spacing w:before="0" w:after="240"/>
        <w:ind w:firstLine="1440" w:end="0"/>
        <w:jc w:val="both"/>
        <w:rPr>
          <w:sz w:val="20"/>
        </w:rPr>
      </w:pPr>
      <w:r>
        <w:rPr>
          <w:sz w:val="20"/>
        </w:rPr>
        <w:t>11.</w:t>
        <w:tab/>
        <w:t>The execution and delivery by Counterparty of the Agreement, any other documentation relating to the Agreement to which it is a party, and each Confirmation, and the performance by Counterparty of its obligations thereunder, are in furtherance, and not in violation, of the public purposes for which Counterparty was created and organized under the Act and pursuant to the laws of the Relevant Jurisdiction.</w:t>
      </w:r>
    </w:p>
    <w:p>
      <w:pPr>
        <w:pStyle w:val="Normal"/>
        <w:spacing w:before="0" w:after="240"/>
        <w:ind w:firstLine="1440" w:end="0"/>
        <w:jc w:val="both"/>
        <w:rPr>
          <w:sz w:val="20"/>
        </w:rPr>
      </w:pPr>
      <w:r>
        <w:rPr>
          <w:sz w:val="20"/>
        </w:rPr>
        <w:t>12.</w:t>
        <w:tab/>
        <w:t>The obligations of Counterparty to make payments to Enron under the Agreement and each Transaction (i) are not subject to appropriation or similar action, and (ii) do not (A) constitute any kind of indebtedness of Counterparty or (B) create any kind of lien on or security interest in any property or revenues of Counterparty which, in either case (A) or (B),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p>
    <w:p>
      <w:pPr>
        <w:pStyle w:val="Normal"/>
        <w:spacing w:before="0" w:after="240"/>
        <w:ind w:firstLine="1440" w:end="0"/>
        <w:jc w:val="both"/>
        <w:rPr/>
      </w:pPr>
      <w:r>
        <w:rPr>
          <w:sz w:val="20"/>
        </w:rPr>
        <w:t>13.</w:t>
        <w:tab/>
        <w:t xml:space="preserve">Counterparty’s obligations under the Agreement are, and until the termination of this Agreement pursuant to the terms hereof shall remain, </w:t>
      </w:r>
      <w:r>
        <w:rPr>
          <w:i/>
          <w:sz w:val="20"/>
        </w:rPr>
        <w:t>[track language regarding source of payments in Schedule]</w:t>
      </w:r>
      <w:r>
        <w:rPr>
          <w:sz w:val="20"/>
        </w:rPr>
        <w:t>.</w:t>
      </w:r>
    </w:p>
    <w:p>
      <w:pPr>
        <w:pStyle w:val="Normal"/>
        <w:spacing w:before="0" w:after="240"/>
        <w:ind w:firstLine="1440" w:end="0"/>
        <w:jc w:val="both"/>
        <w:rPr>
          <w:sz w:val="20"/>
        </w:rPr>
      </w:pPr>
      <w:r>
        <w:rPr>
          <w:sz w:val="20"/>
        </w:rPr>
        <w:t>14.</w:t>
        <w:tab/>
        <w:t>The execution and delivery of the Agreement, or any of the documentation relating to the Agreement, will not result in the imposition of any tax, duty, or fee on Enron by any governmental or public board, body, agency, or other authority or instrumentality in the Relevant Jurisdiction.</w:t>
      </w:r>
    </w:p>
    <w:p>
      <w:pPr>
        <w:pStyle w:val="Normal"/>
        <w:spacing w:before="0" w:after="240"/>
        <w:ind w:firstLine="1440" w:end="0"/>
        <w:jc w:val="both"/>
        <w:rPr>
          <w:sz w:val="20"/>
        </w:rPr>
      </w:pPr>
      <w:r>
        <w:rPr>
          <w:sz w:val="20"/>
        </w:rPr>
        <w:t>15.</w:t>
        <w:tab/>
        <w:t>Enron is not (i) required to qualify or obtain any certificate of authority to do business in, or to register or file with, or to obtain any license from, any governmental or public board, body, agency, or other authority or instrumentality in the Relevant Jurisdiction, or (ii) subject to any requirement to make or pay any taxes, duties, or fees, required of foreign entities doing business in the Relevant Jurisdiction, in either case (i) or (ii), solely as a result of executing, delivering, and performing the Agreement, or any other documentation relating to the Agreement to which Enron is a party or that it is required by the Agreement to deliver.</w:t>
      </w:r>
    </w:p>
    <w:p>
      <w:pPr>
        <w:pStyle w:val="Normal"/>
        <w:spacing w:before="0" w:after="240"/>
        <w:ind w:start="4320" w:end="0"/>
        <w:rPr>
          <w:sz w:val="20"/>
        </w:rPr>
      </w:pPr>
      <w:r>
        <w:rPr>
          <w:sz w:val="20"/>
        </w:rPr>
        <w:t>Very truly yours,</w:t>
      </w:r>
    </w:p>
    <w:p>
      <w:pPr>
        <w:pStyle w:val="Normal"/>
        <w:spacing w:lineRule="exact" w:line="240"/>
        <w:jc w:val="both"/>
        <w:rPr>
          <w:sz w:val="20"/>
        </w:rPr>
      </w:pPr>
      <w:r>
        <w:rPr>
          <w:sz w:val="20"/>
        </w:rPr>
      </w:r>
    </w:p>
    <w:p>
      <w:pPr>
        <w:sectPr>
          <w:footerReference w:type="default" r:id="rId3"/>
          <w:type w:val="nextPage"/>
          <w:pgSz w:w="12240" w:h="15840"/>
          <w:pgMar w:left="1440" w:right="1440" w:gutter="0" w:header="0" w:top="1440" w:footer="720" w:bottom="1440"/>
          <w:pgNumType w:start="1" w:fmt="decimal"/>
          <w:formProt w:val="true"/>
          <w:textDirection w:val="lrTb"/>
          <w:docGrid w:type="default" w:linePitch="360" w:charSpace="0"/>
        </w:sectPr>
      </w:pPr>
    </w:p>
    <w:p>
      <w:pPr>
        <w:pStyle w:val="Normal"/>
        <w:keepNext w:val="true"/>
        <w:jc w:val="center"/>
        <w:rPr>
          <w:b/>
          <w:sz w:val="20"/>
        </w:rPr>
      </w:pPr>
      <w:r>
        <w:rPr>
          <w:b/>
          <w:sz w:val="20"/>
        </w:rPr>
      </w:r>
    </w:p>
    <w:p>
      <w:pPr>
        <w:pStyle w:val="Normal"/>
        <w:keepNext w:val="true"/>
        <w:spacing w:lineRule="exact" w:line="240"/>
        <w:jc w:val="center"/>
        <w:rPr>
          <w:b/>
          <w:sz w:val="20"/>
        </w:rPr>
      </w:pPr>
      <w:r>
        <w:rPr>
          <w:b/>
          <w:sz w:val="20"/>
        </w:rPr>
        <w:t>ANNEX A</w:t>
      </w:r>
    </w:p>
    <w:p>
      <w:pPr>
        <w:pStyle w:val="Normal"/>
        <w:keepNext w:val="true"/>
        <w:jc w:val="center"/>
        <w:rPr>
          <w:b/>
          <w:sz w:val="20"/>
        </w:rPr>
      </w:pPr>
      <w:r>
        <w:rPr>
          <w:b/>
          <w:sz w:val="20"/>
        </w:rPr>
      </w:r>
    </w:p>
    <w:p>
      <w:pPr>
        <w:pStyle w:val="Normal"/>
        <w:spacing w:lineRule="exact" w:line="240"/>
        <w:jc w:val="both"/>
        <w:rPr>
          <w:b/>
          <w:sz w:val="20"/>
        </w:rPr>
      </w:pPr>
      <w:r>
        <w:rPr>
          <w:b/>
          <w:sz w:val="20"/>
        </w:rPr>
      </w:r>
    </w:p>
    <w:p>
      <w:pPr>
        <w:pStyle w:val="Normal"/>
        <w:spacing w:lineRule="exact" w:line="240"/>
        <w:jc w:val="center"/>
        <w:rPr>
          <w:sz w:val="20"/>
        </w:rPr>
      </w:pPr>
      <w:r>
        <w:rPr>
          <w:sz w:val="20"/>
        </w:rPr>
        <w:t>[THIS PAGE INTENTIONALLY LEFT BLANK]</w:t>
      </w:r>
    </w:p>
    <w:p>
      <w:pPr>
        <w:sectPr>
          <w:footerReference w:type="default" r:id="rId4"/>
          <w:footerReference w:type="first" r:id="rId5"/>
          <w:type w:val="nextPage"/>
          <w:pgSz w:w="12240" w:h="15840"/>
          <w:pgMar w:left="1008" w:right="1008" w:gutter="0" w:header="0" w:top="1008" w:footer="432" w:bottom="1008"/>
          <w:pgNumType w:start="1" w:fmt="decimal"/>
          <w:formProt w:val="true"/>
          <w:textDirection w:val="lrTb"/>
          <w:docGrid w:type="default" w:linePitch="360" w:charSpace="0"/>
        </w:sectPr>
      </w:pPr>
    </w:p>
    <w:p>
      <w:pPr>
        <w:pStyle w:val="Heading4"/>
        <w:ind w:hanging="0" w:start="0"/>
        <w:rPr/>
      </w:pPr>
      <w:r>
        <w:rPr/>
        <w:t>DEEMED ISDA</w:t>
      </w:r>
    </w:p>
    <w:p>
      <w:pPr>
        <w:pStyle w:val="Normal"/>
        <w:jc w:val="center"/>
        <w:rPr>
          <w:b/>
          <w:sz w:val="20"/>
          <w:u w:val="single"/>
        </w:rPr>
      </w:pPr>
      <w:r>
        <w:rPr>
          <w:b/>
          <w:sz w:val="20"/>
          <w:u w:val="single"/>
        </w:rPr>
      </w:r>
    </w:p>
    <w:p>
      <w:pPr>
        <w:pStyle w:val="Normal"/>
        <w:jc w:val="center"/>
        <w:rPr>
          <w:b/>
          <w:sz w:val="20"/>
          <w:u w:val="single"/>
        </w:rPr>
      </w:pPr>
      <w:r>
        <w:rPr>
          <w:b/>
          <w:sz w:val="20"/>
          <w:u w:val="single"/>
        </w:rPr>
        <w:t>ANNEX B</w:t>
      </w:r>
    </w:p>
    <w:p>
      <w:pPr>
        <w:pStyle w:val="Normal"/>
        <w:jc w:val="center"/>
        <w:rPr>
          <w:b/>
          <w:sz w:val="20"/>
          <w:u w:val="single"/>
        </w:rPr>
      </w:pPr>
      <w:r>
        <w:rPr>
          <w:b/>
          <w:sz w:val="20"/>
          <w:u w:val="single"/>
        </w:rPr>
      </w:r>
    </w:p>
    <w:p>
      <w:pPr>
        <w:pStyle w:val="Normal"/>
        <w:jc w:val="center"/>
        <w:rPr>
          <w:b/>
          <w:sz w:val="20"/>
        </w:rPr>
      </w:pPr>
      <w:r>
        <w:rPr>
          <w:b/>
          <w:sz w:val="20"/>
        </w:rPr>
        <w:t>CREDIT AND OTHER SPECIAL PROVISIONS</w:t>
      </w:r>
    </w:p>
    <w:p>
      <w:pPr>
        <w:pStyle w:val="Normal"/>
        <w:jc w:val="center"/>
        <w:rPr>
          <w:b/>
          <w:sz w:val="20"/>
        </w:rPr>
      </w:pPr>
      <w:r>
        <w:rPr>
          <w:b/>
          <w:sz w:val="20"/>
        </w:rPr>
      </w:r>
    </w:p>
    <w:p>
      <w:pPr>
        <w:pStyle w:val="Heading6"/>
        <w:ind w:hanging="0" w:start="0"/>
        <w:rPr>
          <w:color w:val="FF0000"/>
        </w:rPr>
      </w:pPr>
      <w:r>
        <w:rPr/>
        <w:t>Eugene Water &amp; Electric Board</w:t>
      </w:r>
    </w:p>
    <w:p>
      <w:pPr>
        <w:pStyle w:val="Normal"/>
        <w:jc w:val="center"/>
        <w:rPr>
          <w:b/>
          <w:color w:val="FF0000"/>
          <w:sz w:val="20"/>
        </w:rPr>
      </w:pPr>
      <w:r>
        <w:rPr>
          <w:b/>
          <w:color w:val="FF0000"/>
          <w:sz w:val="20"/>
        </w:rPr>
      </w:r>
    </w:p>
    <w:p>
      <w:pPr>
        <w:pStyle w:val="Normal"/>
        <w:jc w:val="both"/>
        <w:rPr>
          <w:sz w:val="20"/>
        </w:rPr>
      </w:pPr>
      <w:r>
        <w:rPr>
          <w:sz w:val="20"/>
        </w:rPr>
        <w:tab/>
        <w:t>This Annex B supplements, forms part of, and is incorporated into the Confirmation to which this Annex B is attached.  Until an ISDA Master Agreement is executed by the parties, this Annex B will set forth the credit and other special provisions governing all Transactions between the parties except as otherwise specified in a Confirmation to a Transaction.</w:t>
      </w:r>
    </w:p>
    <w:p>
      <w:pPr>
        <w:pStyle w:val="Normal"/>
        <w:spacing w:lineRule="exact" w:line="240" w:before="240" w:after="0"/>
        <w:ind w:hanging="720" w:start="720" w:end="0"/>
        <w:jc w:val="both"/>
        <w:rPr/>
      </w:pPr>
      <w:r>
        <w:rPr>
          <w:sz w:val="20"/>
        </w:rPr>
        <w:t>1.</w:t>
        <w:tab/>
      </w:r>
      <w:r>
        <w:rPr>
          <w:sz w:val="20"/>
          <w:u w:val="single"/>
        </w:rPr>
        <w:t>Additional Events of Default</w:t>
      </w:r>
      <w:r>
        <w:rPr>
          <w:sz w:val="20"/>
        </w:rPr>
        <w:t>. The following will constitute additional Events of Default for purposes of Section 5(a) of the ISDA Agreement:</w:t>
      </w:r>
    </w:p>
    <w:p>
      <w:pPr>
        <w:pStyle w:val="Normal"/>
        <w:spacing w:lineRule="exact" w:line="240" w:before="240" w:after="0"/>
        <w:ind w:start="720" w:end="0"/>
        <w:jc w:val="both"/>
        <w:rPr/>
      </w:pPr>
      <w:r>
        <w:rPr>
          <w:sz w:val="20"/>
          <w:u w:val="single"/>
        </w:rPr>
        <w:t>(i)</w:t>
        <w:tab/>
        <w:t>"(ix) the Defaulting Party fails to establish, maintain, renew, substitute or increase the Performance Assurance in accordance with the terms and provisions of Annex B</w:t>
      </w:r>
      <w:r>
        <w:rPr>
          <w:sz w:val="20"/>
        </w:rPr>
        <w:t>-1 and the failure continues for two (2) Business Days after notice from the other party."</w:t>
      </w:r>
    </w:p>
    <w:p>
      <w:pPr>
        <w:pStyle w:val="Normal"/>
        <w:spacing w:lineRule="exact" w:line="240" w:before="240" w:after="0"/>
        <w:ind w:start="720" w:end="0"/>
        <w:jc w:val="both"/>
        <w:rPr>
          <w:sz w:val="20"/>
        </w:rPr>
      </w:pPr>
      <w:r>
        <w:rPr>
          <w:sz w:val="20"/>
        </w:rPr>
        <w:t>(ii)</w:t>
        <w:tab/>
        <w:t>Cross Default:</w:t>
      </w:r>
    </w:p>
    <w:p>
      <w:pPr>
        <w:pStyle w:val="Normal"/>
        <w:ind w:hanging="720" w:start="720" w:end="0"/>
        <w:jc w:val="both"/>
        <w:rPr>
          <w:sz w:val="20"/>
        </w:rPr>
      </w:pPr>
      <w:r>
        <w:rPr>
          <w:sz w:val="20"/>
        </w:rPr>
      </w:r>
    </w:p>
    <w:p>
      <w:pPr>
        <w:pStyle w:val="Normal"/>
        <w:ind w:start="720" w:end="0"/>
        <w:jc w:val="both"/>
        <w:rPr/>
      </w:pPr>
      <w:r>
        <w:rPr>
          <w:sz w:val="20"/>
        </w:rPr>
        <w:t>The Cross Default provisions of Section 5(a)(vi) of the ISDA Agreement will apply to Counterparty; and will apply to ENA.  Specified Indebtedness will have the meaning specified in Section 14 of the ISDA Agreement.  Threshold Amount means: with respect to ENA, U.S. $100,000,000 (or its equivalent in another currency)</w:t>
      </w:r>
      <w:r>
        <w:rPr>
          <w:color w:val="000000"/>
          <w:sz w:val="20"/>
        </w:rPr>
        <w:t xml:space="preserve">; with respect to ENA's Credit Support Provider, U.S. $100,000,000 (or its equivalent in another currency); </w:t>
      </w:r>
      <w:r>
        <w:rPr>
          <w:sz w:val="20"/>
        </w:rPr>
        <w:t>and with respect to Counterparty, U.S. $7,500,000 (or its equivalent in another currency); provided that such Threshold Amount shall apply individually and not collectively with respect to each entity set forth above notwithstanding anything to the contrary set forth in Section 5(a)(vi) of the Agreement.</w:t>
      </w:r>
    </w:p>
    <w:p>
      <w:pPr>
        <w:pStyle w:val="Normal"/>
        <w:ind w:start="720" w:end="0"/>
        <w:jc w:val="both"/>
        <w:rPr>
          <w:sz w:val="20"/>
        </w:rPr>
      </w:pPr>
      <w:r>
        <w:rPr>
          <w:sz w:val="20"/>
        </w:rPr>
      </w:r>
    </w:p>
    <w:p>
      <w:pPr>
        <w:pStyle w:val="Normal"/>
        <w:tabs>
          <w:tab w:val="left" w:pos="720" w:leader="none"/>
          <w:tab w:val="left" w:pos="1248" w:leader="none"/>
          <w:tab w:val="left" w:pos="1920" w:leader="none"/>
          <w:tab w:val="left" w:pos="2550" w:leader="none"/>
          <w:tab w:val="left" w:pos="4200" w:leader="none"/>
          <w:tab w:val="left" w:pos="4872" w:leader="none"/>
          <w:tab w:val="left" w:pos="5544" w:leader="none"/>
        </w:tabs>
        <w:jc w:val="both"/>
        <w:rPr/>
      </w:pPr>
      <w:r>
        <w:rPr>
          <w:sz w:val="20"/>
        </w:rPr>
        <w:t>2.</w:t>
        <w:tab/>
      </w:r>
      <w:r>
        <w:rPr>
          <w:sz w:val="20"/>
          <w:u w:val="single"/>
        </w:rPr>
        <w:t>Additional General Definitions</w:t>
      </w:r>
      <w:r>
        <w:rPr>
          <w:sz w:val="20"/>
        </w:rPr>
        <w:t>.  The following definitions are hereby added to Section 14 of the ISDA Agreement: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sz w:val="20"/>
        </w:rPr>
      </w:pPr>
      <w:r>
        <w:rPr>
          <w:sz w:val="20"/>
        </w:rPr>
      </w:r>
    </w:p>
    <w:p>
      <w:pPr>
        <w:pStyle w:val="Normal"/>
        <w:ind w:start="720" w:end="0"/>
        <w:jc w:val="both"/>
        <w:rPr/>
      </w:pPr>
      <w:r>
        <w:rPr>
          <w:i/>
          <w:sz w:val="20"/>
        </w:rPr>
        <w:t>"</w:t>
      </w:r>
      <w:r>
        <w:rPr>
          <w:i/>
          <w:sz w:val="20"/>
          <w:u w:val="single"/>
        </w:rPr>
        <w:t>Credit Rating</w:t>
      </w:r>
      <w:r>
        <w:rPr>
          <w:i/>
          <w:sz w:val="20"/>
        </w:rPr>
        <w:t>"</w:t>
      </w:r>
      <w:r>
        <w:rPr>
          <w:sz w:val="20"/>
        </w:rPr>
        <w:t xml:space="preserve"> means: (a) with respect to ENA (or its Credit Support Provider, as the case may be), on any date of determination, the respective ratings then assigned to such party’s (or its Credit Support Provider’s, as the case may be) unsecured, senior long-term debt or deposit obligations (not supported by third party credit enhancement) by S&amp;P, Moody’s or the specified rating agency or agencies; or (b) with respect to Counterparty, on any date of determination, the respective ratings then assigned to Counterparty's revenue bonds (not supported by third party credit enhancement) by S&amp;P.</w:t>
      </w:r>
    </w:p>
    <w:p>
      <w:pPr>
        <w:pStyle w:val="Normal"/>
        <w:ind w:start="720" w:end="0"/>
        <w:jc w:val="both"/>
        <w:rPr>
          <w:b/>
          <w:sz w:val="20"/>
        </w:rPr>
      </w:pPr>
      <w:r>
        <w:rPr>
          <w:b/>
          <w:sz w:val="20"/>
        </w:rPr>
      </w:r>
    </w:p>
    <w:p>
      <w:pPr>
        <w:pStyle w:val="Normal"/>
        <w:ind w:start="720" w:end="0"/>
        <w:jc w:val="both"/>
        <w:rPr/>
      </w:pPr>
      <w:r>
        <w:rPr>
          <w:i/>
          <w:sz w:val="20"/>
          <w:u w:val="single"/>
        </w:rPr>
        <w:t>"Credit Support Provider"</w:t>
      </w:r>
      <w:r>
        <w:rPr>
          <w:sz w:val="20"/>
        </w:rPr>
        <w:t xml:space="preserve"> means, with respect to ENA only, Enron Corp.</w:t>
      </w:r>
    </w:p>
    <w:p>
      <w:pPr>
        <w:pStyle w:val="Normal"/>
        <w:ind w:start="720" w:end="0"/>
        <w:jc w:val="both"/>
        <w:rPr>
          <w:sz w:val="20"/>
        </w:rPr>
      </w:pPr>
      <w:r>
        <w:rPr>
          <w:sz w:val="20"/>
        </w:rPr>
      </w:r>
    </w:p>
    <w:p>
      <w:pPr>
        <w:pStyle w:val="Normal"/>
        <w:ind w:start="720" w:end="0"/>
        <w:jc w:val="both"/>
        <w:rPr/>
      </w:pPr>
      <w:r>
        <w:rPr>
          <w:i/>
          <w:sz w:val="20"/>
        </w:rPr>
        <w:t>"</w:t>
      </w:r>
      <w:r>
        <w:rPr>
          <w:i/>
          <w:sz w:val="20"/>
          <w:u w:val="single"/>
        </w:rPr>
        <w:t>GAAP</w:t>
      </w:r>
      <w:r>
        <w:rPr>
          <w:i/>
          <w:sz w:val="20"/>
        </w:rPr>
        <w:t>"</w:t>
      </w:r>
      <w:r>
        <w:rPr>
          <w:sz w:val="20"/>
        </w:rPr>
        <w:t xml:space="preserve"> means generally accepted accounting principles that are generally accepted in the country in which the applicable party is organized and on a basis consistent with prior periods.</w:t>
      </w:r>
    </w:p>
    <w:p>
      <w:pPr>
        <w:pStyle w:val="Normal"/>
        <w:spacing w:lineRule="atLeast" w:line="240"/>
        <w:ind w:start="720" w:end="0"/>
        <w:jc w:val="both"/>
        <w:rPr>
          <w:i/>
          <w:i/>
          <w:sz w:val="20"/>
        </w:rPr>
      </w:pPr>
      <w:r>
        <w:rPr>
          <w:i/>
          <w:sz w:val="20"/>
        </w:rPr>
      </w:r>
    </w:p>
    <w:p>
      <w:pPr>
        <w:pStyle w:val="Normal"/>
        <w:spacing w:lineRule="atLeast" w:line="240"/>
        <w:ind w:start="720" w:end="0"/>
        <w:jc w:val="both"/>
        <w:rPr/>
      </w:pPr>
      <w:r>
        <w:rPr>
          <w:i/>
          <w:sz w:val="20"/>
        </w:rPr>
        <w:t>"</w:t>
      </w:r>
      <w:r>
        <w:rPr>
          <w:i/>
          <w:sz w:val="20"/>
          <w:u w:val="single"/>
        </w:rPr>
        <w:t>Material Adverse Change</w:t>
      </w:r>
      <w:r>
        <w:rPr>
          <w:i/>
          <w:sz w:val="20"/>
        </w:rPr>
        <w:t>"</w:t>
      </w:r>
      <w:r>
        <w:rPr>
          <w:sz w:val="20"/>
        </w:rPr>
        <w:t xml:space="preserve"> means (a) with respect to Counterparty, it shall have any of the following occur at any time:  (i) its Credit Rating is below “BBB-” by S&amp;P</w:t>
      </w:r>
      <w:r>
        <w:rPr>
          <w:color w:val="FF0000"/>
          <w:sz w:val="20"/>
        </w:rPr>
        <w:t xml:space="preserve"> </w:t>
      </w:r>
      <w:r>
        <w:rPr>
          <w:sz w:val="20"/>
        </w:rPr>
        <w:t>or it fails to have a Credit Rating from S&amp;P; or (ii) its Net Worth falls below U.S. $140,000,000; or (b) with respect to ENA, Enron Corp.’s</w:t>
      </w:r>
      <w:r>
        <w:rPr>
          <w:color w:val="FF0000"/>
          <w:sz w:val="20"/>
        </w:rPr>
        <w:t xml:space="preserve"> </w:t>
      </w:r>
      <w:r>
        <w:rPr>
          <w:sz w:val="20"/>
        </w:rPr>
        <w:t>Credit Rating is below “BBB-” by S&amp;P.</w:t>
      </w:r>
    </w:p>
    <w:p>
      <w:pPr>
        <w:pStyle w:val="Normal"/>
        <w:spacing w:lineRule="atLeast" w:line="240"/>
        <w:ind w:start="720" w:end="0"/>
        <w:jc w:val="both"/>
        <w:rPr>
          <w:sz w:val="20"/>
        </w:rPr>
      </w:pPr>
      <w:r>
        <w:rPr>
          <w:sz w:val="20"/>
        </w:rPr>
      </w:r>
    </w:p>
    <w:p>
      <w:pPr>
        <w:pStyle w:val="Normal"/>
        <w:ind w:start="720" w:end="0"/>
        <w:jc w:val="both"/>
        <w:rPr/>
      </w:pPr>
      <w:r>
        <w:rPr>
          <w:i/>
          <w:sz w:val="20"/>
        </w:rPr>
        <w:t>"</w:t>
      </w:r>
      <w:r>
        <w:rPr>
          <w:i/>
          <w:sz w:val="20"/>
          <w:u w:val="single"/>
        </w:rPr>
        <w:t>Moody’s</w:t>
      </w:r>
      <w:r>
        <w:rPr>
          <w:i/>
          <w:sz w:val="20"/>
        </w:rPr>
        <w:t>"</w:t>
      </w:r>
      <w:r>
        <w:rPr>
          <w:sz w:val="20"/>
        </w:rPr>
        <w:t xml:space="preserve"> means Moody’s Investors Service, Inc. or its successor.</w:t>
      </w:r>
    </w:p>
    <w:p>
      <w:pPr>
        <w:pStyle w:val="Normal"/>
        <w:ind w:start="720" w:end="0"/>
        <w:jc w:val="both"/>
        <w:rPr>
          <w:sz w:val="20"/>
        </w:rPr>
      </w:pPr>
      <w:r>
        <w:rPr>
          <w:sz w:val="20"/>
        </w:rPr>
      </w:r>
    </w:p>
    <w:p>
      <w:pPr>
        <w:pStyle w:val="Normal"/>
        <w:ind w:start="720" w:end="144"/>
        <w:jc w:val="both"/>
        <w:rPr/>
      </w:pPr>
      <w:r>
        <w:rPr>
          <w:i/>
          <w:sz w:val="20"/>
        </w:rPr>
        <w:t>"</w:t>
      </w:r>
      <w:r>
        <w:rPr>
          <w:i/>
          <w:sz w:val="20"/>
          <w:u w:val="single"/>
        </w:rPr>
        <w:t>Net Worth</w:t>
      </w:r>
      <w:r>
        <w:rPr>
          <w:i/>
          <w:sz w:val="20"/>
        </w:rPr>
        <w:t>"</w:t>
      </w:r>
      <w:r>
        <w:rPr>
          <w:sz w:val="20"/>
        </w:rPr>
        <w:t xml:space="preserve"> means consolidated total assets of Counterparty (exclusive of intangible assets), minus consolidated total liabilities of Counterparty, each as would be reflected on a consolidated balance sheet of Counterparty prepared in accordance with GAAP.</w:t>
      </w:r>
    </w:p>
    <w:p>
      <w:pPr>
        <w:pStyle w:val="Normal"/>
        <w:ind w:start="720" w:end="144"/>
        <w:jc w:val="both"/>
        <w:rPr>
          <w:sz w:val="20"/>
        </w:rPr>
      </w:pPr>
      <w:r>
        <w:rPr>
          <w:sz w:val="20"/>
        </w:rPr>
      </w:r>
    </w:p>
    <w:p>
      <w:pPr>
        <w:pStyle w:val="Normal"/>
        <w:ind w:start="720" w:end="0"/>
        <w:jc w:val="both"/>
        <w:rPr/>
      </w:pPr>
      <w:r>
        <w:rPr>
          <w:i/>
          <w:sz w:val="20"/>
        </w:rPr>
        <w:t>"</w:t>
      </w:r>
      <w:r>
        <w:rPr>
          <w:i/>
          <w:sz w:val="20"/>
          <w:u w:val="single"/>
        </w:rPr>
        <w:t>S&amp;P</w:t>
      </w:r>
      <w:r>
        <w:rPr>
          <w:i/>
          <w:sz w:val="20"/>
        </w:rPr>
        <w:t>"</w:t>
      </w:r>
      <w:r>
        <w:rPr>
          <w:sz w:val="20"/>
        </w:rPr>
        <w:t xml:space="preserve"> means the Standard &amp; Poor’s Rating Group (a division of McGraw-Hill, Inc.) or its successor.</w:t>
      </w:r>
    </w:p>
    <w:p>
      <w:pPr>
        <w:pStyle w:val="Normal"/>
        <w:ind w:start="720" w:end="0"/>
        <w:jc w:val="both"/>
        <w:rPr>
          <w:sz w:val="20"/>
        </w:rPr>
      </w:pPr>
      <w:r>
        <w:rPr>
          <w:sz w:val="20"/>
        </w:rPr>
      </w:r>
    </w:p>
    <w:p>
      <w:pPr>
        <w:pStyle w:val="Normal"/>
        <w:jc w:val="both"/>
        <w:rPr/>
      </w:pPr>
      <w:r>
        <w:rPr>
          <w:sz w:val="20"/>
        </w:rPr>
        <w:t>3.</w:t>
        <w:tab/>
      </w:r>
      <w:r>
        <w:rPr>
          <w:sz w:val="20"/>
          <w:u w:val="single"/>
        </w:rPr>
        <w:t>Credit Support Documents – Collateral Annex.</w:t>
      </w:r>
      <w:r>
        <w:rPr>
          <w:sz w:val="20"/>
        </w:rPr>
        <w:t xml:space="preserve">  Counterparty and ENA shall establish, maintain, renew, substitute and increase Performance Assurance as (and only to the extent) required by Annex B-1, which shall be a Credit Support Document.</w:t>
      </w:r>
    </w:p>
    <w:p>
      <w:pPr>
        <w:sectPr>
          <w:headerReference w:type="default" r:id="rId6"/>
          <w:footerReference w:type="default" r:id="rId7"/>
          <w:footerReference w:type="first" r:id="rId8"/>
          <w:type w:val="nextPage"/>
          <w:pgSz w:w="12240" w:h="15840"/>
          <w:pgMar w:left="864" w:right="720" w:gutter="0" w:header="720" w:top="1440" w:footer="605" w:bottom="720"/>
          <w:pgNumType w:start="1" w:fmt="decimal"/>
          <w:formProt w:val="true"/>
          <w:textDirection w:val="lrTb"/>
          <w:docGrid w:type="default" w:linePitch="360" w:charSpace="0"/>
        </w:sectPr>
      </w:pPr>
    </w:p>
    <w:p>
      <w:pPr>
        <w:pStyle w:val="Normal"/>
        <w:jc w:val="end"/>
        <w:rPr>
          <w:b/>
          <w:sz w:val="20"/>
          <w:u w:val="single"/>
        </w:rPr>
      </w:pPr>
      <w:r>
        <w:rPr>
          <w:b/>
          <w:color w:val="FF0000"/>
          <w:sz w:val="20"/>
          <w:u w:val="single"/>
        </w:rPr>
        <w:t>TWO WAY CASH/LETTER OF CREDIT FORM</w:t>
      </w:r>
    </w:p>
    <w:p>
      <w:pPr>
        <w:pStyle w:val="Heading7"/>
        <w:ind w:hanging="0" w:start="0"/>
        <w:rPr>
          <w:rFonts w:ascii="Times New Roman" w:hAnsi="Times New Roman" w:cs="Times New Roman"/>
          <w:sz w:val="20"/>
        </w:rPr>
      </w:pPr>
      <w:r>
        <w:rPr>
          <w:rFonts w:cs="Times New Roman" w:ascii="Times New Roman" w:hAnsi="Times New Roman"/>
          <w:sz w:val="20"/>
        </w:rPr>
        <w:t>DEEMED ISDA</w:t>
      </w:r>
    </w:p>
    <w:p>
      <w:pPr>
        <w:pStyle w:val="Normal"/>
        <w:jc w:val="center"/>
        <w:rPr>
          <w:b/>
          <w:sz w:val="20"/>
        </w:rPr>
      </w:pPr>
      <w:r>
        <w:rPr>
          <w:b/>
          <w:sz w:val="20"/>
          <w:u w:val="single"/>
        </w:rPr>
        <w:t>ANNEX B-1</w:t>
      </w:r>
    </w:p>
    <w:p>
      <w:pPr>
        <w:pStyle w:val="Normal"/>
        <w:jc w:val="center"/>
        <w:rPr>
          <w:sz w:val="20"/>
        </w:rPr>
      </w:pPr>
      <w:r>
        <w:rPr>
          <w:b/>
          <w:sz w:val="20"/>
          <w:u w:val="single"/>
        </w:rPr>
        <w:t>COLLATERAL AND EXPOSURE PROVISIONS</w:t>
      </w:r>
    </w:p>
    <w:p>
      <w:pPr>
        <w:pStyle w:val="Normal"/>
        <w:jc w:val="center"/>
        <w:rPr>
          <w:sz w:val="20"/>
        </w:rPr>
      </w:pPr>
      <w:r>
        <w:rPr>
          <w:sz w:val="20"/>
        </w:rPr>
      </w:r>
    </w:p>
    <w:p>
      <w:pPr>
        <w:pStyle w:val="Normal"/>
        <w:jc w:val="both"/>
        <w:rPr>
          <w:sz w:val="20"/>
        </w:rPr>
      </w:pPr>
      <w:r>
        <w:rPr>
          <w:sz w:val="20"/>
        </w:rPr>
        <w:tab/>
        <w:t>This Annex B-1 supplements, forms part of, and is incorporated into the Confirmation to which it is attached.  Capitalized terms used in this Annex but not defined herein shall have the meanings given to them in the Confirmation (including all Annexes).</w:t>
      </w:r>
    </w:p>
    <w:p>
      <w:pPr>
        <w:pStyle w:val="Normal"/>
        <w:jc w:val="both"/>
        <w:rPr>
          <w:sz w:val="20"/>
        </w:rPr>
      </w:pPr>
      <w:r>
        <w:rPr>
          <w:sz w:val="20"/>
        </w:rPr>
      </w:r>
    </w:p>
    <w:p>
      <w:pPr>
        <w:pStyle w:val="Normal"/>
        <w:jc w:val="both"/>
        <w:rPr/>
      </w:pPr>
      <w:r>
        <w:rPr>
          <w:sz w:val="20"/>
        </w:rPr>
        <w:tab/>
        <w:t xml:space="preserve">1.  </w:t>
      </w:r>
      <w:r>
        <w:rPr>
          <w:sz w:val="20"/>
          <w:u w:val="single"/>
        </w:rPr>
        <w:t>Certain Definitions</w:t>
      </w:r>
      <w:r>
        <w:rPr>
          <w:sz w:val="20"/>
        </w:rPr>
        <w:t>.  As used herein:</w:t>
      </w:r>
    </w:p>
    <w:p>
      <w:pPr>
        <w:pStyle w:val="Normal"/>
        <w:jc w:val="both"/>
        <w:rPr>
          <w:sz w:val="20"/>
        </w:rPr>
      </w:pPr>
      <w:r>
        <w:rPr>
          <w:sz w:val="20"/>
        </w:rPr>
      </w:r>
    </w:p>
    <w:p>
      <w:pPr>
        <w:pStyle w:val="Normal"/>
        <w:tabs>
          <w:tab w:val="left" w:pos="720" w:leader="none"/>
        </w:tabs>
        <w:ind w:hanging="1440" w:start="1440" w:end="0"/>
        <w:jc w:val="both"/>
        <w:rPr/>
      </w:pPr>
      <w:r>
        <w:rPr>
          <w:i/>
          <w:sz w:val="20"/>
        </w:rPr>
        <w:tab/>
      </w:r>
      <w:r>
        <w:rPr>
          <w:sz w:val="20"/>
        </w:rPr>
        <w:t>(a)</w:t>
        <w:tab/>
      </w:r>
      <w:r>
        <w:rPr>
          <w:i/>
          <w:sz w:val="20"/>
        </w:rPr>
        <w:t>"</w:t>
      </w:r>
      <w:r>
        <w:rPr>
          <w:i/>
          <w:sz w:val="20"/>
          <w:u w:val="single"/>
        </w:rPr>
        <w:t>Additional Amount</w:t>
      </w:r>
      <w:r>
        <w:rPr>
          <w:i/>
          <w:sz w:val="20"/>
        </w:rPr>
        <w:t>"</w:t>
      </w:r>
      <w:r>
        <w:rPr>
          <w:sz w:val="20"/>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(b)</w:t>
        <w:tab/>
        <w:t>“</w:t>
      </w:r>
      <w:r>
        <w:rPr>
          <w:i/>
          <w:sz w:val="20"/>
          <w:u w:val="single"/>
        </w:rPr>
        <w:t>Business Day</w:t>
      </w:r>
      <w:r>
        <w:rPr>
          <w:sz w:val="20"/>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sz w:val="20"/>
        </w:rPr>
      </w:pPr>
      <w:r>
        <w:rPr>
          <w:sz w:val="20"/>
        </w:rPr>
        <w:t xml:space="preserve"> </w:t>
      </w:r>
    </w:p>
    <w:p>
      <w:pPr>
        <w:pStyle w:val="Normal"/>
        <w:tabs>
          <w:tab w:val="left" w:pos="720" w:leader="none"/>
        </w:tabs>
        <w:ind w:hanging="1440" w:start="1440" w:end="0"/>
        <w:jc w:val="both"/>
        <w:rPr/>
      </w:pPr>
      <w:r>
        <w:rPr>
          <w:sz w:val="20"/>
        </w:rPr>
        <w:tab/>
        <w:t>(c)</w:t>
        <w:tab/>
        <w:t xml:space="preserve">The </w:t>
      </w:r>
      <w:r>
        <w:rPr>
          <w:i/>
          <w:sz w:val="20"/>
        </w:rPr>
        <w:t>"</w:t>
      </w:r>
      <w:r>
        <w:rPr>
          <w:i/>
          <w:sz w:val="20"/>
          <w:u w:val="single"/>
        </w:rPr>
        <w:t>Collateral Requirement</w:t>
      </w:r>
      <w:r>
        <w:rPr>
          <w:i/>
          <w:sz w:val="20"/>
        </w:rPr>
        <w:t>"</w:t>
      </w:r>
      <w:r>
        <w:rPr>
          <w:sz w:val="20"/>
        </w:rPr>
        <w:t xml:space="preserve"> for a Non-Exposed Party shall mean the excess, if any, of (i) (x) the Exposed Party’s Net Exposure plus (y) the aggregate of all Additional Amounts applicable to the Non-Exposed Party minus (ii) the Non-Exposed Party’s Exposure Threshold plus the sum of (x) the Valuation Percentage times the remaining, undrawn portion of any outstanding Letters of Credit maintained by the Non-Exposed Party and issued for the benefit of the Exposed Party in connection with the Swaps; (y) any Cash previously delivered to the Exposed Party and not returned pursuant to Section 2(b) of this Annex and any Interest Amount that has not been delivered to the Non-Exposed Party; and (z) any Cash held by the Exposed Party pursuant to Section 4(d)(ii) of this Annex.</w:t>
      </w:r>
    </w:p>
    <w:p>
      <w:pPr>
        <w:pStyle w:val="Normal"/>
        <w:jc w:val="both"/>
        <w:rPr>
          <w:sz w:val="20"/>
        </w:rPr>
      </w:pPr>
      <w:r>
        <w:rPr>
          <w:sz w:val="20"/>
        </w:rPr>
      </w:r>
    </w:p>
    <w:p>
      <w:pPr>
        <w:pStyle w:val="Normal"/>
        <w:tabs>
          <w:tab w:val="left" w:pos="720" w:leader="none"/>
        </w:tabs>
        <w:ind w:hanging="1440" w:start="1440" w:end="0"/>
        <w:jc w:val="both"/>
        <w:rPr/>
      </w:pPr>
      <w:r>
        <w:rPr>
          <w:sz w:val="20"/>
        </w:rPr>
        <w:tab/>
        <w:t>(d)</w:t>
        <w:tab/>
        <w:t xml:space="preserve">The </w:t>
      </w:r>
      <w:r>
        <w:rPr>
          <w:i/>
          <w:sz w:val="20"/>
        </w:rPr>
        <w:t>"</w:t>
      </w:r>
      <w:r>
        <w:rPr>
          <w:i/>
          <w:sz w:val="20"/>
          <w:u w:val="single"/>
        </w:rPr>
        <w:t>Current Value</w:t>
      </w:r>
      <w:r>
        <w:rPr>
          <w:i/>
          <w:sz w:val="20"/>
        </w:rPr>
        <w:t>"</w:t>
      </w:r>
      <w:r>
        <w:rPr>
          <w:sz w:val="20"/>
        </w:rPr>
        <w:t xml:space="preserve">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incomplete Determination Periods and that such Swap is in all other respects identical to the outstanding Swap.</w:t>
      </w:r>
    </w:p>
    <w:p>
      <w:pPr>
        <w:pStyle w:val="Normal"/>
        <w:jc w:val="both"/>
        <w:rPr>
          <w:sz w:val="20"/>
        </w:rPr>
      </w:pPr>
      <w:r>
        <w:rPr>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sz w:val="20"/>
        </w:rPr>
        <w:tab/>
        <w:t>(e)</w:t>
        <w:tab/>
      </w:r>
      <w:r>
        <w:rPr>
          <w:i/>
          <w:sz w:val="20"/>
        </w:rPr>
        <w:t>"</w:t>
      </w:r>
      <w:r>
        <w:rPr>
          <w:i/>
          <w:sz w:val="20"/>
          <w:u w:val="single"/>
        </w:rPr>
        <w:t>Exposure</w:t>
      </w:r>
      <w:r>
        <w:rPr>
          <w:i/>
          <w:sz w:val="20"/>
        </w:rPr>
        <w:t>"</w:t>
      </w:r>
      <w:r>
        <w:rPr>
          <w:sz w:val="20"/>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sz w:val="20"/>
        </w:rPr>
      </w:pPr>
      <w:r>
        <w:rPr>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 w:val="20"/>
        </w:rPr>
      </w:pPr>
      <w:r>
        <w:rPr>
          <w:sz w:val="20"/>
        </w:rPr>
        <w:t>To the extent that a Swap is covered in part by clauses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 w:val="20"/>
        </w:rPr>
      </w:pPr>
      <w:r>
        <w:rPr>
          <w:sz w:val="20"/>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sz w:val="20"/>
        </w:rPr>
        <w:t>(f)</w:t>
        <w:tab/>
      </w:r>
      <w:r>
        <w:rPr>
          <w:i/>
          <w:sz w:val="20"/>
        </w:rPr>
        <w:t>"</w:t>
      </w:r>
      <w:r>
        <w:rPr>
          <w:i/>
          <w:sz w:val="20"/>
          <w:u w:val="single"/>
        </w:rPr>
        <w:t>Exposure Threshold</w:t>
      </w:r>
      <w:r>
        <w:rPr>
          <w:i/>
          <w:sz w:val="20"/>
        </w:rPr>
        <w:t>"</w:t>
      </w:r>
      <w:r>
        <w:rPr>
          <w:sz w:val="20"/>
        </w:rPr>
        <w:t xml:space="preserve"> shall mean, with respect to (i) ENA, $25,000,000 and (ii) Counterparty, $3,000,000 provided, however, that the Exposure Threshold for a party shall be zero upon the occurrence and during the continuance of a </w:t>
      </w:r>
      <w:r>
        <w:rPr>
          <w:color w:val="FF0000"/>
          <w:sz w:val="20"/>
        </w:rPr>
        <w:t>[</w:t>
      </w:r>
      <w:r>
        <w:rPr>
          <w:sz w:val="20"/>
        </w:rPr>
        <w:t>Material Adverse Change</w:t>
      </w:r>
      <w:r>
        <w:rPr>
          <w:color w:val="FF0000"/>
          <w:sz w:val="20"/>
        </w:rPr>
        <w:t>]</w:t>
      </w:r>
      <w:r>
        <w:rPr>
          <w:sz w:val="20"/>
        </w:rPr>
        <w:t xml:space="preserve"> or an Event of Default (or an event which, with the giving of notice or the lapse of time or both, would constitute an Event of Default (a “</w:t>
      </w:r>
      <w:r>
        <w:rPr>
          <w:sz w:val="20"/>
          <w:u w:val="single"/>
        </w:rPr>
        <w:t>Potential Event of Default</w:t>
      </w:r>
      <w:r>
        <w:rPr>
          <w:sz w:val="20"/>
        </w:rPr>
        <w:t>”)) with respect to such party.  The Exposure Threshold assigned to a party shall be the threshold applied to such party for all Swaps in the aggregate.</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(g)</w:t>
        <w:tab/>
      </w:r>
      <w:r>
        <w:rPr>
          <w:i/>
          <w:sz w:val="20"/>
        </w:rPr>
        <w:t>"</w:t>
      </w:r>
      <w:r>
        <w:rPr>
          <w:i/>
          <w:sz w:val="20"/>
          <w:u w:val="single"/>
        </w:rPr>
        <w:t>Exposure Amount</w:t>
      </w:r>
      <w:r>
        <w:rPr>
          <w:i/>
          <w:sz w:val="20"/>
        </w:rPr>
        <w:t>"</w:t>
      </w:r>
      <w:r>
        <w:rPr>
          <w:sz w:val="20"/>
        </w:rPr>
        <w:t xml:space="preserve"> for each party shall be calculated for all Swaps by calculating each party's Exposure to the other party in respect of all Swaps.  The party having the greater Exposure Amount at any time (the </w:t>
      </w:r>
      <w:r>
        <w:rPr>
          <w:i/>
          <w:sz w:val="20"/>
        </w:rPr>
        <w:t>"</w:t>
      </w:r>
      <w:r>
        <w:rPr>
          <w:i/>
          <w:sz w:val="20"/>
          <w:u w:val="single"/>
        </w:rPr>
        <w:t>Exposed Party</w:t>
      </w:r>
      <w:r>
        <w:rPr>
          <w:i/>
          <w:sz w:val="20"/>
        </w:rPr>
        <w:t>"</w:t>
      </w:r>
      <w:r>
        <w:rPr>
          <w:sz w:val="20"/>
        </w:rPr>
        <w:t xml:space="preserve">) shall be deemed to have a "Net Exposure" to the other party (the </w:t>
      </w:r>
      <w:r>
        <w:rPr>
          <w:i/>
          <w:sz w:val="20"/>
        </w:rPr>
        <w:t>"</w:t>
      </w:r>
      <w:r>
        <w:rPr>
          <w:i/>
          <w:sz w:val="20"/>
          <w:u w:val="single"/>
        </w:rPr>
        <w:t>Non-Exposed Party</w:t>
      </w:r>
      <w:r>
        <w:rPr>
          <w:i/>
          <w:sz w:val="20"/>
        </w:rPr>
        <w:t>"</w:t>
      </w:r>
      <w:r>
        <w:rPr>
          <w:sz w:val="20"/>
        </w:rPr>
        <w:t>) equal to the difference between its Exposure Amount and the other party's Exposure Amount.</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(h)</w:t>
        <w:tab/>
        <w:t>"</w:t>
      </w:r>
      <w:r>
        <w:rPr>
          <w:i/>
          <w:sz w:val="20"/>
          <w:u w:val="single"/>
        </w:rPr>
        <w:t>Interest Amount</w:t>
      </w:r>
      <w:r>
        <w:rPr>
          <w:sz w:val="20"/>
        </w:rPr>
        <w:t>" shall mean with respect to an "Interest Period" (as defined herein), the aggregate sum of the amounts of interest calculated for each day in that Interest Period on the principal amount of Cash held by the Exposed Party on that day, determined by the Exposed Party for each such day as follows: (x) the amount of Cash held by the Exposed Party on that day; multiplied by (y) the Interest Rate (as defined herein) for that day: divided by (z) 360.  "</w:t>
      </w:r>
      <w:r>
        <w:rPr>
          <w:i/>
          <w:sz w:val="20"/>
          <w:u w:val="single"/>
        </w:rPr>
        <w:t>Interest Period</w:t>
      </w:r>
      <w:r>
        <w:rPr>
          <w:sz w:val="20"/>
        </w:rPr>
        <w:t>" means the period from (and including) the last Business Day on which an Interest Amount was Transferred (or if no Interest Amount has yet been Transferred, the Business Day on which Cash was Transferred to the Exposed Party) to (but excluding) the Business Day on which the current Interest Amount is to be Transferred.  "</w:t>
      </w:r>
      <w:r>
        <w:rPr>
          <w:i/>
          <w:sz w:val="20"/>
          <w:u w:val="single"/>
        </w:rPr>
        <w:t>Interest Rate</w:t>
      </w:r>
      <w:r>
        <w:rPr>
          <w:sz w:val="20"/>
        </w:rPr>
        <w:t>" shall be the Federal Funds Overnight Rate as from time to time in effect.  "</w:t>
      </w:r>
      <w:r>
        <w:rPr>
          <w:i/>
          <w:sz w:val="20"/>
          <w:u w:val="single"/>
        </w:rPr>
        <w:t>Federal Funds Overnight Rate</w:t>
      </w:r>
      <w:r>
        <w:rPr>
          <w:sz w:val="20"/>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1440" w:start="1440" w:end="0"/>
        <w:jc w:val="both"/>
        <w:rPr>
          <w:sz w:val="20"/>
        </w:rPr>
      </w:pPr>
      <w:r>
        <w:rPr>
          <w:sz w:val="20"/>
        </w:rPr>
      </w:r>
    </w:p>
    <w:p>
      <w:pPr>
        <w:pStyle w:val="Normal"/>
        <w:tabs>
          <w:tab w:val="left" w:pos="720" w:leader="none"/>
        </w:tabs>
        <w:ind w:hanging="720" w:start="1440" w:end="0"/>
        <w:jc w:val="both"/>
        <w:rPr/>
      </w:pPr>
      <w:r>
        <w:rPr>
          <w:sz w:val="20"/>
        </w:rPr>
        <w:t>(i)</w:t>
        <w:tab/>
      </w:r>
      <w:r>
        <w:rPr>
          <w:i/>
          <w:sz w:val="20"/>
        </w:rPr>
        <w:t>“</w:t>
      </w:r>
      <w:r>
        <w:rPr>
          <w:i/>
          <w:sz w:val="20"/>
          <w:u w:val="single"/>
        </w:rPr>
        <w:t>Letter of Credit Default</w:t>
      </w:r>
      <w:r>
        <w:rPr>
          <w:i/>
          <w:sz w:val="20"/>
        </w:rPr>
        <w:t>”</w:t>
      </w:r>
      <w:r>
        <w:rPr>
          <w:sz w:val="20"/>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b/>
          <w:sz w:val="20"/>
          <w:u w:val="single"/>
        </w:rPr>
      </w:pPr>
      <w:r>
        <w:rPr>
          <w:b/>
          <w:sz w:val="20"/>
          <w:u w:val="single"/>
        </w:rPr>
      </w:r>
    </w:p>
    <w:p>
      <w:pPr>
        <w:pStyle w:val="Normal"/>
        <w:ind w:start="720" w:end="0"/>
        <w:jc w:val="both"/>
        <w:rPr/>
      </w:pPr>
      <w:r>
        <w:rPr>
          <w:sz w:val="20"/>
        </w:rPr>
        <w:t>(j)</w:t>
        <w:tab/>
        <w:t>“</w:t>
      </w:r>
      <w:r>
        <w:rPr>
          <w:i/>
          <w:sz w:val="20"/>
          <w:u w:val="single"/>
        </w:rPr>
        <w:t>Moody’s</w:t>
      </w:r>
      <w:r>
        <w:rPr>
          <w:sz w:val="20"/>
        </w:rPr>
        <w:t>” means Moody’s Investors Service,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b/>
          <w:sz w:val="20"/>
          <w:u w:val="single"/>
        </w:rPr>
      </w:pPr>
      <w:r>
        <w:rPr>
          <w:b/>
          <w:sz w:val="20"/>
          <w:u w:val="single"/>
        </w:rPr>
      </w:r>
    </w:p>
    <w:p>
      <w:pPr>
        <w:pStyle w:val="Normal"/>
        <w:ind w:hanging="720" w:start="1440" w:end="0"/>
        <w:jc w:val="both"/>
        <w:rPr/>
      </w:pPr>
      <w:r>
        <w:rPr>
          <w:sz w:val="20"/>
        </w:rPr>
        <w:t>(k)</w:t>
        <w:tab/>
        <w:t>"</w:t>
      </w:r>
      <w:r>
        <w:rPr>
          <w:i/>
          <w:sz w:val="20"/>
          <w:u w:val="single"/>
        </w:rPr>
        <w:t>Performance Assurance</w:t>
      </w:r>
      <w:r>
        <w:rPr>
          <w:sz w:val="20"/>
        </w:rPr>
        <w:t xml:space="preserve">" means (i) one or more irrevocable, transferable standby letters of credit (each a </w:t>
      </w:r>
      <w:r>
        <w:rPr>
          <w:i/>
          <w:sz w:val="20"/>
        </w:rPr>
        <w:t>"</w:t>
      </w:r>
      <w:r>
        <w:rPr>
          <w:i/>
          <w:sz w:val="20"/>
          <w:u w:val="single"/>
        </w:rPr>
        <w:t>Letter of Credit</w:t>
      </w:r>
      <w:r>
        <w:rPr>
          <w:i/>
          <w:sz w:val="20"/>
        </w:rPr>
        <w:t>"</w:t>
      </w:r>
      <w:r>
        <w:rPr>
          <w:sz w:val="20"/>
        </w:rPr>
        <w:t xml:space="preserve">) issued by a major U.S. commercial bank or a foreign bank with a U.S. branch office, with such bank having a Credit Rating of at least “A-” from S&amp;P and “A3” from Moody’s, such Letter of Credit being issued for the benefit of the Exposed Party and in the form of </w:t>
      </w:r>
      <w:r>
        <w:rPr>
          <w:sz w:val="20"/>
          <w:u w:val="single"/>
        </w:rPr>
        <w:t>Schedule 1</w:t>
      </w:r>
      <w:r>
        <w:rPr>
          <w:sz w:val="20"/>
        </w:rPr>
        <w:t xml:space="preserve"> attached hereto, with only such changes as may be required by the issuing bank and as are acceptable to the Exposed Party; (ii) all Cash that has been Transferred to or received by the Exposed Party and not Transferred to the Non-Exposed Party pursuant to Section 2(b) of this Annex or released by the Exposed Party; (iii) any Interest Amount or portion thereof that has not been Transferred pursuant to Section 3(b) of this Annex and any Cash received by the Exposed Party pursuant to Section 4 of this Annex; and (iv) all proceeds of all of the foregoing property that have been Transferred to or received by the Exposed Party hereunder.</w:t>
      </w:r>
    </w:p>
    <w:p>
      <w:pPr>
        <w:pStyle w:val="Normal"/>
        <w:tabs>
          <w:tab w:val="left" w:pos="720" w:leader="none"/>
        </w:tabs>
        <w:ind w:hanging="1440" w:start="1440" w:end="0"/>
        <w:jc w:val="both"/>
        <w:rPr>
          <w:sz w:val="20"/>
        </w:rPr>
      </w:pPr>
      <w:r>
        <w:rPr>
          <w:sz w:val="20"/>
        </w:rPr>
      </w:r>
    </w:p>
    <w:p>
      <w:pPr>
        <w:pStyle w:val="Normal"/>
        <w:ind w:start="720" w:end="0"/>
        <w:jc w:val="both"/>
        <w:rPr/>
      </w:pPr>
      <w:r>
        <w:rPr>
          <w:sz w:val="20"/>
        </w:rPr>
        <w:t>(l)</w:t>
        <w:tab/>
        <w:t>“</w:t>
      </w:r>
      <w:r>
        <w:rPr>
          <w:i/>
          <w:sz w:val="20"/>
          <w:u w:val="single"/>
        </w:rPr>
        <w:t>S&amp;P”</w:t>
      </w:r>
      <w:r>
        <w:rPr>
          <w:sz w:val="20"/>
        </w:rPr>
        <w:t xml:space="preserve"> means the Standard &amp; Poor’s Rating Group (a division of McGraw-Hill, Inc.) or its successor.</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(m)</w:t>
        <w:tab/>
      </w:r>
      <w:r>
        <w:rPr>
          <w:i/>
          <w:sz w:val="20"/>
        </w:rPr>
        <w:t>"</w:t>
      </w:r>
      <w:r>
        <w:rPr>
          <w:i/>
          <w:sz w:val="20"/>
          <w:u w:val="single"/>
        </w:rPr>
        <w:t>Swaps</w:t>
      </w:r>
      <w:r>
        <w:rPr>
          <w:i/>
          <w:sz w:val="20"/>
        </w:rPr>
        <w:t>"</w:t>
      </w:r>
      <w:r>
        <w:rPr>
          <w:sz w:val="20"/>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sz w:val="20"/>
          <w:u w:val="single"/>
        </w:rPr>
        <w:t>Swap</w:t>
      </w:r>
      <w:r>
        <w:rPr>
          <w:sz w:val="20"/>
        </w:rPr>
        <w:t>" shall mean any of the Swaps.</w:t>
      </w:r>
    </w:p>
    <w:p>
      <w:pPr>
        <w:pStyle w:val="Normal"/>
        <w:spacing w:before="240" w:after="0"/>
        <w:ind w:hanging="720" w:start="1440" w:end="0"/>
        <w:jc w:val="both"/>
        <w:rPr/>
      </w:pPr>
      <w:r>
        <w:rPr>
          <w:sz w:val="20"/>
        </w:rPr>
        <w:t>(n)</w:t>
        <w:tab/>
        <w:t>"</w:t>
      </w:r>
      <w:r>
        <w:rPr>
          <w:sz w:val="20"/>
          <w:u w:val="single"/>
        </w:rPr>
        <w:t>Transfer</w:t>
      </w:r>
      <w:r>
        <w:rPr>
          <w:sz w:val="20"/>
        </w:rPr>
        <w:t>" shall mean, with respect to any Performance Assurance or Interest Amount, and in accordance with the instructions of ENA or Counterparty, as applicable: (i) in the case of Cash, payment or delivery by wire transfer into one or more bank accounts specified by the recipient; and (ii) in the case of Letters of Credit, delivery of the Letter of Credit or an amendment thereto to the recipient.</w:t>
      </w:r>
    </w:p>
    <w:p>
      <w:pPr>
        <w:pStyle w:val="Normal"/>
        <w:tabs>
          <w:tab w:val="left" w:pos="720" w:leader="none"/>
        </w:tabs>
        <w:ind w:hanging="1440" w:start="1440" w:end="0"/>
        <w:jc w:val="both"/>
        <w:rPr>
          <w:i/>
          <w:i/>
          <w:sz w:val="20"/>
        </w:rPr>
      </w:pPr>
      <w:r>
        <w:rPr>
          <w:i/>
          <w:sz w:val="20"/>
        </w:rPr>
      </w:r>
    </w:p>
    <w:p>
      <w:pPr>
        <w:pStyle w:val="Normal"/>
        <w:tabs>
          <w:tab w:val="left" w:pos="720" w:leader="none"/>
        </w:tabs>
        <w:ind w:hanging="720" w:start="1440" w:end="0"/>
        <w:jc w:val="both"/>
        <w:rPr/>
      </w:pPr>
      <w:r>
        <w:rPr>
          <w:sz w:val="20"/>
        </w:rPr>
        <w:t>(o)</w:t>
        <w:tab/>
      </w:r>
      <w:r>
        <w:rPr>
          <w:i/>
          <w:sz w:val="20"/>
        </w:rPr>
        <w:t>"</w:t>
      </w:r>
      <w:r>
        <w:rPr>
          <w:i/>
          <w:sz w:val="20"/>
          <w:u w:val="single"/>
        </w:rPr>
        <w:t>Valuation Percentage</w:t>
      </w:r>
      <w:r>
        <w:rPr>
          <w:i/>
          <w:sz w:val="20"/>
        </w:rPr>
        <w:t>”</w:t>
      </w:r>
      <w:r>
        <w:rPr>
          <w:sz w:val="20"/>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sz w:val="20"/>
        </w:rPr>
      </w:pPr>
      <w:r>
        <w:rPr>
          <w:sz w:val="20"/>
        </w:rPr>
      </w:r>
    </w:p>
    <w:p>
      <w:pPr>
        <w:pStyle w:val="Normal"/>
        <w:tabs>
          <w:tab w:val="left" w:pos="720" w:leader="none"/>
        </w:tabs>
        <w:ind w:hanging="1440" w:start="1440" w:end="0"/>
        <w:jc w:val="both"/>
        <w:rPr>
          <w:sz w:val="20"/>
        </w:rPr>
      </w:pPr>
      <w:r>
        <w:rPr>
          <w:sz w:val="20"/>
        </w:rPr>
        <w:tab/>
        <w:t>(p)</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sz w:val="20"/>
        </w:rPr>
      </w:pPr>
      <w:r>
        <w:rPr>
          <w:sz w:val="20"/>
        </w:rPr>
      </w:r>
    </w:p>
    <w:p>
      <w:pPr>
        <w:pStyle w:val="Normal"/>
        <w:jc w:val="both"/>
        <w:rPr/>
      </w:pPr>
      <w:r>
        <w:rPr>
          <w:sz w:val="20"/>
        </w:rPr>
        <w:tab/>
        <w:t xml:space="preserve">2.  </w:t>
      </w:r>
      <w:r>
        <w:rPr>
          <w:sz w:val="20"/>
          <w:u w:val="single"/>
        </w:rPr>
        <w:t>Performance Assurance</w:t>
      </w:r>
      <w:r>
        <w:rPr>
          <w:sz w:val="20"/>
        </w:rPr>
        <w:t>.</w:t>
      </w:r>
    </w:p>
    <w:p>
      <w:pPr>
        <w:pStyle w:val="Normal"/>
        <w:jc w:val="both"/>
        <w:rPr>
          <w:sz w:val="20"/>
        </w:rPr>
      </w:pPr>
      <w:r>
        <w:rPr>
          <w:sz w:val="20"/>
        </w:rPr>
      </w:r>
    </w:p>
    <w:p>
      <w:pPr>
        <w:pStyle w:val="Normal"/>
        <w:ind w:hanging="720" w:start="1440" w:end="0"/>
        <w:jc w:val="both"/>
        <w:rPr>
          <w:b/>
          <w:sz w:val="20"/>
        </w:rPr>
      </w:pPr>
      <w:r>
        <w:rPr>
          <w:sz w:val="20"/>
        </w:rPr>
        <w:t>(a)</w:t>
        <w:tab/>
        <w:t xml:space="preserve">On any Business Day, the Exposed Party may demand in writing that the Non-Exposed Party establish and maintain (subject to increase as provided below) (1) Performance Assurance for the benefit of the Exposed Party equal to the Non-Exposed Party’s Collateral Requirement, rounded up to the next higher integral multiple of $250,000, or (2) increase the amount of any outstanding Performance Assurance so that after such increase the Collateral Requirement has been fully satisfied.  The Non-Exposed Party shall either establish such Performance Assurance or increase any outstanding Performance Assurance, in each case by either (i) increasing the amount of any outstanding Letter of Credit; (ii) establishing additional Letters of Credit; or (ii) delivering Cash to the Exposed Party.  Unless otherwise agreed in writing by the parties, Performance Assurance demanded of the Non-Exposed Party by 10:00 a.m., New York time, on a Business Day shall be provided by the close of business on the next succeeding Business Day; </w:t>
      </w:r>
      <w:r>
        <w:rPr>
          <w:sz w:val="20"/>
          <w:u w:val="single"/>
        </w:rPr>
        <w:t>provided, however</w:t>
      </w:r>
      <w:r>
        <w:rPr>
          <w:sz w:val="20"/>
        </w:rPr>
        <w:t>, that Letters of Credit shall be Transferred by the close of business on the second succeeding Business Day.</w:t>
      </w:r>
    </w:p>
    <w:p>
      <w:pPr>
        <w:pStyle w:val="BodyTextIndent2"/>
        <w:rPr/>
      </w:pPr>
      <w:r>
        <w:rPr>
          <w:sz w:val="20"/>
        </w:rPr>
        <w:t>(b)</w:t>
        <w:tab/>
        <w:t>On any Business Day (but no more frequently than weekly), a party (the “</w:t>
      </w:r>
      <w:r>
        <w:rPr>
          <w:sz w:val="20"/>
          <w:u w:val="single"/>
        </w:rPr>
        <w:t>Requesting Party</w:t>
      </w:r>
      <w:r>
        <w:rPr>
          <w:sz w:val="20"/>
        </w:rPr>
        <w:t>”) that has provided Performance Assurance to the other party (the “</w:t>
      </w:r>
      <w:r>
        <w:rPr>
          <w:sz w:val="20"/>
          <w:u w:val="single"/>
        </w:rPr>
        <w:t>Non-Requesting Party</w:t>
      </w:r>
      <w:r>
        <w:rPr>
          <w:sz w:val="20"/>
        </w:rPr>
        <w:t xml:space="preserve">”) may request a reduction in the amount of Performance Assurance previously provided by it, </w:t>
      </w:r>
      <w:r>
        <w:rPr>
          <w:sz w:val="20"/>
          <w:u w:val="single"/>
        </w:rPr>
        <w:t>provided that</w:t>
      </w:r>
      <w:r>
        <w:rPr>
          <w:sz w:val="20"/>
        </w:rPr>
        <w:t>,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or Potential Event of Default with respect to the Requesting Party shall have occurred and be continuing; and (iv) no Early Termination Date for which any unsatisfied payment obligations of the Requesting Party exist has occurred or been designated as a result of an Event of Default with respect to the Requesting Party.  A permitted reduction in Performance Assurance shall be effected by either the Transfer of Cash to the Requesting Party or the reduction of the amount of an outstanding Letter of Credit previously issued for the benefit of the Non-Requesting Party. The Requesting Party shall have the right to specify the means of effecting the reduction in Performance Assurance. The Non-Requesting Party shall have two (2) Business Days to effect a permitted reduction in Performance Assurance if such reduction is to be effected by the return of Cash to the Requesting Party.  If a permitted reduction in Performance Assurance is to be effected by a reduction in the amount of an outstanding Letter of Credit previously issued for the benefit of the Non-Requesting Party, then the Non-Requesting Party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the Non-Requesting Party) shall be borne by the Requesting Party.</w:t>
      </w:r>
    </w:p>
    <w:p>
      <w:pPr>
        <w:pStyle w:val="Normal"/>
        <w:ind w:hanging="720" w:start="720" w:end="0"/>
        <w:jc w:val="both"/>
        <w:rPr>
          <w:sz w:val="20"/>
        </w:rPr>
      </w:pPr>
      <w:r>
        <w:rPr>
          <w:sz w:val="20"/>
        </w:rPr>
      </w:r>
    </w:p>
    <w:p>
      <w:pPr>
        <w:pStyle w:val="Normal"/>
        <w:ind w:start="720" w:end="0"/>
        <w:jc w:val="both"/>
        <w:rPr/>
      </w:pPr>
      <w:r>
        <w:rPr>
          <w:sz w:val="20"/>
        </w:rPr>
        <w:t xml:space="preserve">3.  </w:t>
      </w:r>
      <w:r>
        <w:rPr>
          <w:sz w:val="20"/>
          <w:u w:val="single"/>
        </w:rPr>
        <w:t>Cash Collateral</w:t>
      </w:r>
      <w:r>
        <w:rPr>
          <w:sz w:val="20"/>
        </w:rPr>
        <w:t>.</w:t>
        <w:tab/>
        <w:t xml:space="preserve"> Performance Assurance in the form of United States Dollars (“Cash”) shall be subject to the following provisions:</w:t>
      </w:r>
    </w:p>
    <w:p>
      <w:pPr>
        <w:pStyle w:val="Normal"/>
        <w:jc w:val="both"/>
        <w:rPr>
          <w:sz w:val="20"/>
        </w:rPr>
      </w:pPr>
      <w:r>
        <w:rPr>
          <w:sz w:val="20"/>
        </w:rPr>
      </w:r>
    </w:p>
    <w:p>
      <w:pPr>
        <w:pStyle w:val="Normal"/>
        <w:tabs>
          <w:tab w:val="left" w:pos="720" w:leader="none"/>
        </w:tabs>
        <w:ind w:hanging="720" w:start="1440" w:end="0"/>
        <w:jc w:val="both"/>
        <w:rPr>
          <w:sz w:val="20"/>
        </w:rPr>
      </w:pPr>
      <w:r>
        <w:rPr>
          <w:sz w:val="20"/>
        </w:rPr>
        <w:t>(a)</w:t>
        <w:tab/>
        <w:t xml:space="preserve">Unless otherwise agreed in writing by the parties, Cash shall be delivered in accordance with this Annex and to such account specified by the Exposed Party in the demand sent to the Non-Exposed Party pursuant to Section 2 of this Annex. </w:t>
      </w:r>
    </w:p>
    <w:p>
      <w:pPr>
        <w:pStyle w:val="Normal"/>
        <w:tabs>
          <w:tab w:val="left" w:pos="720" w:leader="none"/>
        </w:tabs>
        <w:ind w:hanging="720" w:start="1440" w:end="0"/>
        <w:jc w:val="both"/>
        <w:rPr>
          <w:sz w:val="20"/>
        </w:rPr>
      </w:pPr>
      <w:r>
        <w:rPr>
          <w:sz w:val="20"/>
        </w:rPr>
      </w:r>
    </w:p>
    <w:p>
      <w:pPr>
        <w:pStyle w:val="BodyText2"/>
        <w:rPr/>
      </w:pPr>
      <w:r>
        <w:rPr/>
        <w:t>(b)</w:t>
        <w:tab/>
        <w:tab/>
        <w:t>So long as no Event of Default with respect to the Non-Exposed Party has occurred and is continuing, and no Early Termination Date for which any unsatisfied payment obligations of the Non-Exposed Party exist has occurred or been designated as the result of an Event of Default with respect to the Non-Exposed Party and to the extent that an obligation to deliver Performance Assurance would not be created or increased by the Transfer, the Exposed Party will Transfer to the Non-Exposed Party, in lieu of any interest, dividends or other amounts paid or deemed to have been paid with respect to the Cash (all of which may be retained by the Exposed Party), the Interest Amount (as defined above) on the last Business Day of each calendar month.  On or after the occurrence of an Event of Default with respect to the Non-Exposed Party or an Early Termination Date as a result of an Event of Default with respect to the Non-Exposed Party, the Exposed Party shall retain any such Interest Amount as additional Cash hereunder until the obligations of the Exposed Party under the Confirmation have been satisfied.</w:t>
      </w:r>
    </w:p>
    <w:p>
      <w:pPr>
        <w:pStyle w:val="Normal"/>
        <w:spacing w:before="240" w:after="0"/>
        <w:ind w:hanging="720" w:start="1440" w:end="0"/>
        <w:jc w:val="both"/>
        <w:rPr>
          <w:sz w:val="20"/>
        </w:rPr>
      </w:pPr>
      <w:r>
        <w:rPr>
          <w:sz w:val="20"/>
        </w:rPr>
        <w:t>(c)</w:t>
        <w:tab/>
        <w:t>Without limiting the Exposed Party’s rights under Section 8(d) of this Annex, the Exposed Party will exercise reasonable care to assure the safe custody of all Cash to the extent required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Cash.</w:t>
      </w:r>
    </w:p>
    <w:p>
      <w:pPr>
        <w:pStyle w:val="Normal"/>
        <w:tabs>
          <w:tab w:val="left" w:pos="720" w:leader="none"/>
        </w:tabs>
        <w:ind w:hanging="720" w:start="1440" w:end="0"/>
        <w:jc w:val="both"/>
        <w:rPr>
          <w:sz w:val="20"/>
        </w:rPr>
      </w:pPr>
      <w:r>
        <w:rPr>
          <w:sz w:val="20"/>
        </w:rPr>
      </w:r>
    </w:p>
    <w:p>
      <w:pPr>
        <w:pStyle w:val="Normal"/>
        <w:ind w:start="720" w:end="0"/>
        <w:jc w:val="both"/>
        <w:rPr/>
      </w:pPr>
      <w:r>
        <w:rPr>
          <w:sz w:val="20"/>
        </w:rPr>
        <w:t xml:space="preserve">4.  </w:t>
      </w:r>
      <w:r>
        <w:rPr>
          <w:sz w:val="20"/>
          <w:u w:val="single"/>
        </w:rPr>
        <w:t>Letters of Credit</w:t>
      </w:r>
      <w:r>
        <w:rPr>
          <w:sz w:val="20"/>
        </w:rPr>
        <w:t>.</w:t>
        <w:tab/>
        <w:t xml:space="preserve"> Performance Assurance in the form of a Letter of Credit shall be subject to the following provisions:</w:t>
      </w:r>
    </w:p>
    <w:p>
      <w:pPr>
        <w:pStyle w:val="Normal"/>
        <w:tabs>
          <w:tab w:val="left" w:pos="720" w:leader="none"/>
        </w:tabs>
        <w:ind w:hanging="720" w:start="1440" w:end="0"/>
        <w:jc w:val="both"/>
        <w:rPr>
          <w:sz w:val="20"/>
        </w:rPr>
      </w:pPr>
      <w:r>
        <w:rPr>
          <w:sz w:val="20"/>
        </w:rPr>
      </w:r>
    </w:p>
    <w:p>
      <w:pPr>
        <w:pStyle w:val="Normal"/>
        <w:tabs>
          <w:tab w:val="left" w:pos="720" w:leader="none"/>
        </w:tabs>
        <w:ind w:hanging="720" w:start="1440" w:end="0"/>
        <w:jc w:val="both"/>
        <w:rPr>
          <w:sz w:val="20"/>
        </w:rPr>
      </w:pPr>
      <w:r>
        <w:rPr>
          <w:sz w:val="20"/>
        </w:rPr>
        <w:t>(a)</w:t>
        <w:tab/>
        <w:t>Unless otherwise agreed in writing by the parties, a Letter of Credit shall be provided in accordance with this Annex, and the Letter of Credit shall be maintained for the benefit of the Exposed Party.  The Non-Exposed Party shall (i) renew or cause the renewal of each outstanding Letter of Credit on a timely basis as provided in the relevant Letter of Credit, and (ii) if the bank that issued an outstanding Letter of Credit has indicated its intent not to renew such Letter of Credit, then the Non-Exposed Party shall provide either a substitute Letter of Credit or other substitute Performance Assurance, in each case at least twenty (20) Business Days prior to the expiration of the outstanding Letter of Credit.  Furthermore, if a bank issuing a Letter of Credit shall fail to honor the Exposed Party’s properly documented request to draw on an outstanding Letter of Credit, then the Non-Exposed Party shall provide for the benefit of the Exposed Party either a substitute Letter of Credit that is issued by a bank acceptable to the Exposed Party  or other substitute Performance Assurance, in each case within two (2) Business Days after such refusal.</w:t>
      </w:r>
    </w:p>
    <w:p>
      <w:pPr>
        <w:pStyle w:val="Normal"/>
        <w:tabs>
          <w:tab w:val="left" w:pos="720" w:leader="none"/>
        </w:tabs>
        <w:ind w:firstLine="90" w:start="1440" w:end="0"/>
        <w:jc w:val="both"/>
        <w:rPr>
          <w:sz w:val="20"/>
        </w:rPr>
      </w:pPr>
      <w:r>
        <w:rPr>
          <w:sz w:val="20"/>
        </w:rPr>
      </w:r>
    </w:p>
    <w:p>
      <w:pPr>
        <w:pStyle w:val="Normal"/>
        <w:tabs>
          <w:tab w:val="left" w:pos="720" w:leader="none"/>
        </w:tabs>
        <w:ind w:hanging="720" w:start="1440" w:end="0"/>
        <w:jc w:val="both"/>
        <w:rPr/>
      </w:pPr>
      <w:r>
        <w:rPr>
          <w:sz w:val="20"/>
        </w:rPr>
        <w:t>(b)</w:t>
        <w:tab/>
        <w:t>Upon the occurrence of a Letter of Credit Default, the Non-Exposed Party agrees to deliver substitute Performance Assurance to the Exposed Party on or before the second Business Day after the occurrence thereof (or the fifth (5</w:t>
      </w:r>
      <w:r>
        <w:rPr>
          <w:sz w:val="20"/>
          <w:vertAlign w:val="superscript"/>
        </w:rPr>
        <w:t>th</w:t>
      </w:r>
      <w:r>
        <w:rPr>
          <w:sz w:val="20"/>
        </w:rPr>
        <w:t>) Business Day after the occurrence thereof if only clause (i) under the definition of Letter of Credit Default applies).</w:t>
      </w:r>
    </w:p>
    <w:p>
      <w:pPr>
        <w:pStyle w:val="Normal"/>
        <w:tabs>
          <w:tab w:val="left" w:pos="720" w:leader="none"/>
        </w:tabs>
        <w:ind w:firstLine="90" w:start="1440" w:end="0"/>
        <w:jc w:val="both"/>
        <w:rPr>
          <w:sz w:val="20"/>
        </w:rPr>
      </w:pPr>
      <w:r>
        <w:rPr>
          <w:sz w:val="20"/>
        </w:rPr>
      </w:r>
    </w:p>
    <w:p>
      <w:pPr>
        <w:pStyle w:val="Normal"/>
        <w:tabs>
          <w:tab w:val="left" w:pos="720" w:leader="none"/>
        </w:tabs>
        <w:ind w:hanging="720" w:start="1440" w:end="0"/>
        <w:jc w:val="both"/>
        <w:rPr>
          <w:sz w:val="20"/>
        </w:rPr>
      </w:pPr>
      <w:r>
        <w:rPr>
          <w:sz w:val="20"/>
        </w:rPr>
        <w:t>(c)</w:t>
        <w:tab/>
        <w:t>When providing Performance Assurance, the Non-Exposed Party may increase the amount of an outstanding Letter of Credit or establish one or more additional Letters of Credit.</w:t>
      </w:r>
    </w:p>
    <w:p>
      <w:pPr>
        <w:pStyle w:val="Normal"/>
        <w:tabs>
          <w:tab w:val="left" w:pos="720" w:leader="none"/>
        </w:tabs>
        <w:ind w:firstLine="90" w:start="1440" w:end="0"/>
        <w:jc w:val="both"/>
        <w:rPr>
          <w:sz w:val="20"/>
        </w:rPr>
      </w:pPr>
      <w:r>
        <w:rPr>
          <w:sz w:val="20"/>
        </w:rPr>
      </w:r>
    </w:p>
    <w:p>
      <w:pPr>
        <w:pStyle w:val="Normal"/>
        <w:tabs>
          <w:tab w:val="left" w:pos="720" w:leader="none"/>
        </w:tabs>
        <w:ind w:hanging="720" w:start="1440" w:end="0"/>
        <w:jc w:val="both"/>
        <w:rPr>
          <w:sz w:val="20"/>
        </w:rPr>
      </w:pPr>
      <w:r>
        <w:rPr>
          <w:sz w:val="20"/>
        </w:rPr>
        <w:t>(d)</w:t>
        <w:tab/>
        <w:t>(i)  A Letter of Credit shall provide that the Exposed Party may draw upon the Letter of Credit in an amount that is equal to all amounts that are due and owing from the Non-Exposed Party but have not been paid to the Exposed Party within the time allowed for such payments under the relevant Swap (including any related notice or grace period or both).  A Letter of Credit shall provide that a drawing may be made on the Letter of Credit upon submission to the bank issuing the Letter of Credit of one or more certificates specifying the amounts due and owed to the Exposed Party in accordance with the specific requirements of the Letter of Credit.  The Non-Exposed Party shall remain liable for any amounts owing to the Exposed Party and remaining unpaid after the application of the amounts so drawn by the Exposed Party.</w:t>
      </w:r>
    </w:p>
    <w:p>
      <w:pPr>
        <w:pStyle w:val="Normal"/>
        <w:ind w:firstLine="90" w:end="0"/>
        <w:jc w:val="both"/>
        <w:rPr>
          <w:sz w:val="20"/>
        </w:rPr>
      </w:pPr>
      <w:r>
        <w:rPr>
          <w:sz w:val="20"/>
        </w:rPr>
      </w:r>
    </w:p>
    <w:p>
      <w:pPr>
        <w:pStyle w:val="Normal"/>
        <w:tabs>
          <w:tab w:val="clear" w:pos="720"/>
          <w:tab w:val="left" w:pos="1440" w:leader="none"/>
        </w:tabs>
        <w:ind w:hanging="630" w:start="1440" w:end="0"/>
        <w:jc w:val="both"/>
        <w:rPr>
          <w:sz w:val="20"/>
        </w:rPr>
      </w:pPr>
      <w:r>
        <w:rPr>
          <w:sz w:val="20"/>
        </w:rPr>
        <w:tab/>
        <w:t>(ii)  Upon or at any time after the occurrence of an Event of Default with respect to the Non-Exposed Party, the Exposed Party may draw on the entire, undrawn portion of any outstanding Letter of Credit upon submission to the bank issuing such Letter of Credit of one or more certificates specifying that such Event of Default has occurred in accordance with the specific requirements of the Letter of Credit.  Cash proceeds received from drawing upon the Letter of Credit shall be deemed to be Performance Assurance as security for the Non-Exposed Party’s obligations to the Exposed Party (and the Non-Exposed Party hereby pledges and grants to the Exposed Party as security for such obligations a first lien, priority security interest in and to such cash proceeds) and the Exposed Party shall have the rights and remedies set forth in Section 6 herein with respect to such cash proceeds.  Notwithstanding the Exposed Party’s receipt of Cash under the Letter of Credit, the Non-Exposed Party shall remain liable to the Exposed Party (y) for any failure to Transfer sufficient Performance Assurance and (z) for any amounts due and owing to the Exposed Party and remaining unpaid after the application of the amounts so drawn by the Exposed Party.</w:t>
      </w:r>
    </w:p>
    <w:p>
      <w:pPr>
        <w:pStyle w:val="Normal"/>
        <w:tabs>
          <w:tab w:val="left" w:pos="720" w:leader="none"/>
        </w:tabs>
        <w:ind w:hanging="720" w:start="1440" w:end="0"/>
        <w:jc w:val="both"/>
        <w:rPr>
          <w:sz w:val="20"/>
        </w:rPr>
      </w:pPr>
      <w:r>
        <w:rPr>
          <w:sz w:val="20"/>
        </w:rPr>
      </w:r>
    </w:p>
    <w:p>
      <w:pPr>
        <w:pStyle w:val="Normal"/>
        <w:tabs>
          <w:tab w:val="left" w:pos="720" w:leader="none"/>
        </w:tabs>
        <w:ind w:hanging="720" w:start="1440" w:end="0"/>
        <w:jc w:val="both"/>
        <w:rPr>
          <w:sz w:val="20"/>
        </w:rPr>
      </w:pPr>
      <w:r>
        <w:rPr>
          <w:sz w:val="20"/>
        </w:rPr>
        <w:t>(e)</w:t>
        <w:tab/>
        <w:t>The Non-Exposed Party may substitute a Letter of Credit for one or more other outstanding Letter(s) of Credit issued for the benefit of the Exposed Party, provided that the amount of such substitute Letter of Credit shall be at least equal to that of the Letter(s) of Credit being replaced (determined in good faith and in a commercially reasonable manner by the Exposed Party), and provided further that no Letter of Credit shall be canceled unless and until the Letter of Credit to be substituted therefor shall have been validly executed and issued for the benefit of the Exposed Party in accordance with applicable law.</w:t>
      </w:r>
    </w:p>
    <w:p>
      <w:pPr>
        <w:pStyle w:val="Normal"/>
        <w:tabs>
          <w:tab w:val="left" w:pos="720" w:leader="none"/>
        </w:tabs>
        <w:ind w:hanging="720" w:start="1440" w:end="0"/>
        <w:jc w:val="both"/>
        <w:rPr>
          <w:sz w:val="20"/>
        </w:rPr>
      </w:pPr>
      <w:r>
        <w:rPr>
          <w:sz w:val="20"/>
        </w:rPr>
      </w:r>
    </w:p>
    <w:p>
      <w:pPr>
        <w:pStyle w:val="Normal"/>
        <w:tabs>
          <w:tab w:val="left" w:pos="720" w:leader="none"/>
        </w:tabs>
        <w:ind w:hanging="720" w:start="1440" w:end="0"/>
        <w:jc w:val="both"/>
        <w:rPr>
          <w:sz w:val="20"/>
        </w:rPr>
      </w:pPr>
      <w:r>
        <w:rPr>
          <w:sz w:val="20"/>
        </w:rPr>
        <w:t>(f)</w:t>
        <w:tab/>
        <w:t>In all cases, the costs and expenses (including but not limited to the reasonable costs, expenses, and attorneys' fees of the Exposed Party) of establishing, renewing, substituting, canceling, and increasing the amount of (as the case may be) one or more Letters of Credit shall be borne by the Non-Exposed Party.</w:t>
      </w:r>
    </w:p>
    <w:p>
      <w:pPr>
        <w:pStyle w:val="Normal"/>
        <w:jc w:val="both"/>
        <w:rPr>
          <w:sz w:val="20"/>
        </w:rPr>
      </w:pPr>
      <w:r>
        <w:rPr>
          <w:sz w:val="20"/>
        </w:rPr>
      </w:r>
    </w:p>
    <w:p>
      <w:pPr>
        <w:pStyle w:val="Normal"/>
        <w:jc w:val="both"/>
        <w:rPr/>
      </w:pPr>
      <w:r>
        <w:rPr>
          <w:sz w:val="20"/>
        </w:rPr>
        <w:tab/>
        <w:t xml:space="preserve">5.  </w:t>
      </w:r>
      <w:r>
        <w:rPr>
          <w:sz w:val="20"/>
          <w:u w:val="single"/>
        </w:rPr>
        <w:t>Additional Representation</w:t>
      </w:r>
      <w:r>
        <w:rPr>
          <w:sz w:val="20"/>
        </w:rPr>
        <w:t>.  Each party continuously represents and warrants to the other party that (a) it has the power and authority under the law of the jurisdiction of its organization or incorporation and under its organizational and constituent documents to grant to the other party, a valid, enforceable, first-priority security interest in, and lien on, all Performance Assurance (other than Letters of Credit) that it provides as the Non-Exposed Party to the other party hereunder and has taken all necessary actions to authorize the granting of that security interest and lien; (b) as of each date on which it, as the Non-Exposed Party, delivers Performance Assurance to the Exposed Party or to any agent of the Exposed Party for the benefit of the Exposed Party (or, in the case of after-acquired Cash, at the time the Exposed Party or its agent acquires rights therein), it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(other than Letters of Credit) upon receipt thereof; (d) the performance by it of its obligations under this Annex will not result in the creation of any security interest, lien or other encumbrance on any property other than the security interest and lien granted pursuant to this Annex; and (e) on each occasion that it, as the Non-Exposed Party, causes the issuance, renewal, substitution, or increase (as the case may be) of a Letter of Credit, such Letter of Credit will be the legal, valid, and binding obligation of the issuer thereof, enforceable in accordance with its terms.</w:t>
      </w:r>
    </w:p>
    <w:p>
      <w:pPr>
        <w:pStyle w:val="Normal"/>
        <w:tabs>
          <w:tab w:val="left" w:pos="720" w:leader="none"/>
        </w:tabs>
        <w:spacing w:before="240" w:after="0"/>
        <w:ind w:hanging="1440" w:end="0"/>
        <w:jc w:val="both"/>
        <w:rPr/>
      </w:pPr>
      <w:r>
        <w:rPr>
          <w:sz w:val="20"/>
        </w:rPr>
        <w:tab/>
        <w:tab/>
        <w:t xml:space="preserve">6.  </w:t>
      </w:r>
      <w:r>
        <w:rPr>
          <w:sz w:val="20"/>
          <w:u w:val="single"/>
        </w:rPr>
        <w:t>Exposed Party’s Rights and Remedies</w:t>
      </w:r>
      <w:r>
        <w:rPr>
          <w:sz w:val="20"/>
        </w:rPr>
        <w:t>.    If at any time (i) an Event of Default with respect to the Non-Exposed Party has occurred and is continuing or (ii) an Early Termination Date has occurred or been designated as a result of an Event of Default with respect to the Non-Exposed Party, then the Exposed Party may do any one or more of the following: (x) exercise any of the rights and remedies of a secured party with respect to the Performance Assurance provided by the Non-Exposed Party to it hereunder, including any such rights and remedies under law then in effect; (y) exercise its rights of setoff against any and all property of the Non-Exposed Party in the possession of the Exposed Party or its agent; or (z) draw on any outstanding Letter of Credit issued for its benefit.  The Exposed Party shall either (y) apply the proceeds of the Performance Assurance realized upon the exercise of any such rights or remedies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w:t>
      </w:r>
    </w:p>
    <w:p>
      <w:pPr>
        <w:pStyle w:val="Normal"/>
        <w:tabs>
          <w:tab w:val="left" w:pos="720" w:leader="none"/>
        </w:tabs>
        <w:spacing w:before="240" w:after="0"/>
        <w:ind w:hanging="1440" w:end="0"/>
        <w:jc w:val="both"/>
        <w:rPr/>
      </w:pPr>
      <w:r>
        <w:rPr>
          <w:sz w:val="20"/>
        </w:rPr>
        <w:tab/>
        <w:tab/>
        <w:t xml:space="preserve">7.  </w:t>
      </w:r>
      <w:r>
        <w:rPr>
          <w:sz w:val="20"/>
          <w:u w:val="single"/>
        </w:rPr>
        <w:t>Security Interest</w:t>
      </w:r>
      <w:r>
        <w:rPr>
          <w:sz w:val="20"/>
        </w:rPr>
        <w:t>.  To secure its obligations under the Confirmation and all outstanding Swaps, the Non-Exposed Party hereby grants to the Exposed Party a present and continuing first-priority security interest in, and lien on (and right of setoff against), all Performance Assurance (other than Letters of Credit) and any and all proceeds, to the extent not otherwise Transferred to the Exposed Party, resulting from such Performance Assurance, whether now or hereafter held by, on behalf of, or for the benefit of, the Exposed Party, and the Non-Exposed Party agrees to take such action as the Exposed Party reasonably requires in order to perfect the Exposed Party’s first-priority continuing security interest in, and lien on (and right of setoff against), such Performance Assurance (other than Letters of Credit) and any and all proceeds resulting from such Performance Assurance.</w:t>
      </w:r>
    </w:p>
    <w:p>
      <w:pPr>
        <w:pStyle w:val="Normal"/>
        <w:spacing w:before="240" w:after="0"/>
        <w:ind w:firstLine="720" w:end="0"/>
        <w:jc w:val="both"/>
        <w:rPr/>
      </w:pPr>
      <w:r>
        <w:rPr>
          <w:sz w:val="20"/>
        </w:rPr>
        <w:t xml:space="preserve">8.  </w:t>
      </w:r>
      <w:r>
        <w:rPr>
          <w:sz w:val="20"/>
          <w:u w:val="single"/>
        </w:rPr>
        <w:t>General.</w:t>
      </w:r>
    </w:p>
    <w:p>
      <w:pPr>
        <w:pStyle w:val="Normal"/>
        <w:spacing w:before="240" w:after="0"/>
        <w:ind w:hanging="720" w:start="1440" w:end="0"/>
        <w:jc w:val="both"/>
        <w:rPr>
          <w:sz w:val="20"/>
        </w:rPr>
      </w:pPr>
      <w:r>
        <w:rPr>
          <w:sz w:val="20"/>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sz w:val="20"/>
        </w:rPr>
      </w:pPr>
      <w:r>
        <w:rPr>
          <w:sz w:val="20"/>
        </w:rPr>
        <w:t>(b)</w:t>
        <w:tab/>
        <w:t>The Exposed Party will promptly pay when due all taxes, assessments or charges of any nature that are imposed with respect to Performance Assurance held by the Exposed Party upon becoming aware of the same, regardless of whether any portion of that Performance Assurance is subsequently disposed of under Section 6 of this Annex, except for those taxes, assessments and charges that result from the exercise of the Exposed Party’s rights under Section 8(d) of this Annex.</w:t>
      </w:r>
    </w:p>
    <w:p>
      <w:pPr>
        <w:pStyle w:val="Normal"/>
        <w:spacing w:before="240" w:after="0"/>
        <w:ind w:hanging="720" w:start="1440" w:end="0"/>
        <w:jc w:val="both"/>
        <w:rPr>
          <w:sz w:val="20"/>
        </w:rPr>
      </w:pPr>
      <w:r>
        <w:rPr>
          <w:sz w:val="20"/>
        </w:rPr>
        <w:t>(c)</w:t>
        <w:tab/>
        <w:t>All reasonable costs and expenses incurred by or on behalf of the Exposed Party in connection with the liquidation and/or application of any Performance Assurance under Section 6 of this Annex will be payable on demand and pursuant to the Confirmation and this Annex by the Non-Exposed Party.</w:t>
      </w:r>
    </w:p>
    <w:p>
      <w:pPr>
        <w:pStyle w:val="Normal"/>
        <w:spacing w:before="240" w:after="0"/>
        <w:ind w:hanging="720" w:start="1440" w:end="0"/>
        <w:jc w:val="both"/>
        <w:rPr>
          <w:sz w:val="20"/>
        </w:rPr>
      </w:pPr>
      <w:r>
        <w:rPr>
          <w:sz w:val="20"/>
        </w:rPr>
        <w:t>(d)</w:t>
        <w:tab/>
        <w:t>So long as the Exposed Party is not a Defaulting Party and no Early Termination Date has occurred or been designated as a result of an Event of Default with respect to the Exposed Party, then the Exposed Party shall have the right to sell, pledge, rehypothecate, assign, invest, use, commingle or otherwise dispose of, or otherwise use in its business, any Cash it holds, free from any claim or right of any nature whatsoever of the Non-Exposed Party, including any equity or right of redemption by the Non-Exposed Party.</w:t>
      </w:r>
    </w:p>
    <w:p>
      <w:pPr>
        <w:pStyle w:val="Normal"/>
        <w:spacing w:before="240" w:after="0"/>
        <w:ind w:hanging="720" w:start="1440" w:end="0"/>
        <w:jc w:val="both"/>
        <w:rPr>
          <w:sz w:val="20"/>
        </w:rPr>
      </w:pPr>
      <w:r>
        <w:rPr>
          <w:sz w:val="20"/>
        </w:rPr>
      </w:r>
    </w:p>
    <w:p>
      <w:pPr>
        <w:sectPr>
          <w:headerReference w:type="default" r:id="rId9"/>
          <w:headerReference w:type="first" r:id="rId10"/>
          <w:footerReference w:type="default" r:id="rId11"/>
          <w:footerReference w:type="first" r:id="rId12"/>
          <w:type w:val="nextPage"/>
          <w:pgSz w:w="12240" w:h="15840"/>
          <w:pgMar w:left="864" w:right="720" w:gutter="0" w:header="720" w:top="1440" w:footer="720" w:bottom="1440"/>
          <w:pgNumType w:start="1" w:fmt="decimal"/>
          <w:formProt w:val="true"/>
          <w:textDirection w:val="lrTb"/>
          <w:docGrid w:type="default" w:linePitch="360" w:charSpace="0"/>
        </w:sectPr>
      </w:pPr>
    </w:p>
    <w:p>
      <w:pPr>
        <w:pStyle w:val="Normal"/>
        <w:jc w:val="center"/>
        <w:rPr>
          <w:sz w:val="20"/>
        </w:rPr>
      </w:pPr>
      <w:r>
        <w:rPr>
          <w:b/>
          <w:sz w:val="20"/>
          <w:u w:val="single"/>
        </w:rPr>
        <w:t>SCHEDULE 1</w:t>
      </w:r>
    </w:p>
    <w:p>
      <w:pPr>
        <w:pStyle w:val="Normal"/>
        <w:jc w:val="center"/>
        <w:rPr>
          <w:sz w:val="20"/>
        </w:rPr>
      </w:pPr>
      <w:r>
        <w:rPr>
          <w:sz w:val="20"/>
        </w:rPr>
      </w:r>
    </w:p>
    <w:p>
      <w:pPr>
        <w:pStyle w:val="Normal"/>
        <w:jc w:val="center"/>
        <w:rPr>
          <w:sz w:val="20"/>
        </w:rPr>
      </w:pPr>
      <w:r>
        <w:rPr>
          <w:sz w:val="20"/>
        </w:rPr>
        <w:t>IRREVOCABLE STANDBY LETTER OF CREDIT FORMAT</w:t>
      </w:r>
    </w:p>
    <w:p>
      <w:pPr>
        <w:pStyle w:val="Normal"/>
        <w:jc w:val="center"/>
        <w:rPr>
          <w:sz w:val="20"/>
        </w:rPr>
      </w:pPr>
      <w:r>
        <w:rPr>
          <w:sz w:val="20"/>
        </w:rPr>
        <w:t xml:space="preserve">DATE OF ISSUANCE:  </w:t>
      </w:r>
      <w:r>
        <w:rPr>
          <w:sz w:val="20"/>
          <w:u w:val="single"/>
        </w:rPr>
        <w:tab/>
        <w:tab/>
        <w:tab/>
      </w:r>
    </w:p>
    <w:p>
      <w:pPr>
        <w:pStyle w:val="Normal"/>
        <w:rPr>
          <w:sz w:val="20"/>
        </w:rPr>
      </w:pPr>
      <w:r>
        <w:rPr>
          <w:sz w:val="20"/>
        </w:rPr>
        <w:t>[Address]</w:t>
      </w:r>
    </w:p>
    <w:p>
      <w:pPr>
        <w:pStyle w:val="Normal"/>
        <w:rPr>
          <w:sz w:val="20"/>
        </w:rPr>
      </w:pPr>
      <w:r>
        <w:rPr>
          <w:sz w:val="20"/>
        </w:rPr>
      </w:r>
    </w:p>
    <w:p>
      <w:pPr>
        <w:pStyle w:val="Normal"/>
        <w:rPr>
          <w:sz w:val="20"/>
        </w:rPr>
      </w:pPr>
      <w:r>
        <w:rPr>
          <w:sz w:val="20"/>
        </w:rPr>
        <w:tab/>
        <w:t>Re:  Credit No. _______________</w:t>
      </w:r>
    </w:p>
    <w:p>
      <w:pPr>
        <w:pStyle w:val="Normal"/>
        <w:rPr>
          <w:sz w:val="20"/>
        </w:rPr>
      </w:pPr>
      <w:r>
        <w:rPr>
          <w:sz w:val="20"/>
        </w:rPr>
      </w:r>
    </w:p>
    <w:p>
      <w:pPr>
        <w:pStyle w:val="Normal"/>
        <w:jc w:val="both"/>
        <w:rPr/>
      </w:pPr>
      <w:r>
        <w:rPr>
          <w:sz w:val="20"/>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sz w:val="20"/>
          <w:u w:val="single"/>
        </w:rPr>
        <w:t>Location</w:t>
      </w:r>
      <w:r>
        <w:rPr>
          <w:sz w:val="20"/>
        </w:rPr>
        <w:t>) on or before the expiration hereof against presentation to us of the following statement, dated and signed by a representative of the beneficiary:</w:t>
      </w:r>
    </w:p>
    <w:p>
      <w:pPr>
        <w:pStyle w:val="Normal"/>
        <w:jc w:val="both"/>
        <w:rPr>
          <w:sz w:val="20"/>
        </w:rPr>
      </w:pPr>
      <w:r>
        <w:rPr>
          <w:sz w:val="20"/>
        </w:rPr>
      </w:r>
    </w:p>
    <w:p>
      <w:pPr>
        <w:pStyle w:val="Normal"/>
        <w:tabs>
          <w:tab w:val="left" w:pos="720" w:leader="none"/>
        </w:tabs>
        <w:ind w:hanging="720" w:start="720" w:end="0"/>
        <w:jc w:val="both"/>
        <w:rPr>
          <w:sz w:val="20"/>
        </w:rPr>
      </w:pPr>
      <w:r>
        <w:rPr>
          <w:sz w:val="20"/>
        </w:rPr>
        <w:tab/>
        <w:t>“An Event of Default (as defined in the Confirmation dated as of ______________, 200___, between beneficiary and Account Party (such Confirmation, together with any amendments, restatements and/or replacements thereof, including, without limitation, any restatements that occur as a result of any Master Agreement between beneficiary and Account Party being herein referred to collectively as the “Confirmation”)) has occurred and is continuing with respect to the Account Party under the Confirmation.”</w:t>
      </w:r>
    </w:p>
    <w:p>
      <w:pPr>
        <w:pStyle w:val="Normal"/>
        <w:tabs>
          <w:tab w:val="left" w:pos="720" w:leader="none"/>
        </w:tabs>
        <w:ind w:hanging="1440" w:start="1440" w:end="0"/>
        <w:jc w:val="both"/>
        <w:rPr>
          <w:sz w:val="20"/>
        </w:rPr>
      </w:pPr>
      <w:r>
        <w:rPr>
          <w:sz w:val="20"/>
        </w:rPr>
      </w:r>
    </w:p>
    <w:p>
      <w:pPr>
        <w:pStyle w:val="Normal"/>
        <w:tabs>
          <w:tab w:val="left" w:pos="720" w:leader="none"/>
        </w:tabs>
        <w:jc w:val="both"/>
        <w:rPr>
          <w:sz w:val="20"/>
        </w:rPr>
      </w:pPr>
      <w:r>
        <w:rPr>
          <w:sz w:val="20"/>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sz w:val="20"/>
        </w:rPr>
      </w:pPr>
      <w:r>
        <w:rPr>
          <w:sz w:val="20"/>
        </w:rPr>
      </w:r>
    </w:p>
    <w:p>
      <w:pPr>
        <w:pStyle w:val="Normal"/>
        <w:tabs>
          <w:tab w:val="left" w:pos="720" w:leader="none"/>
        </w:tabs>
        <w:jc w:val="both"/>
        <w:rPr>
          <w:sz w:val="20"/>
        </w:rPr>
      </w:pPr>
      <w:r>
        <w:rPr>
          <w:sz w:val="20"/>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sz w:val="20"/>
        </w:rPr>
      </w:pPr>
      <w:r>
        <w:rPr>
          <w:sz w:val="20"/>
        </w:rPr>
      </w:r>
    </w:p>
    <w:p>
      <w:pPr>
        <w:pStyle w:val="Normal"/>
        <w:tabs>
          <w:tab w:val="left" w:pos="720" w:leader="none"/>
        </w:tabs>
        <w:jc w:val="both"/>
        <w:rPr>
          <w:sz w:val="20"/>
        </w:rPr>
      </w:pPr>
      <w:r>
        <w:rPr>
          <w:sz w:val="20"/>
        </w:rPr>
        <w:tab/>
        <w:t>We hereby agree with you that documents drawn under and in compliance with the terms of this Letter of Credit shall be duly honored upon presentation as specified.</w:t>
      </w:r>
    </w:p>
    <w:p>
      <w:pPr>
        <w:pStyle w:val="Normal"/>
        <w:tabs>
          <w:tab w:val="left" w:pos="720" w:leader="none"/>
        </w:tabs>
        <w:jc w:val="both"/>
        <w:rPr>
          <w:sz w:val="20"/>
        </w:rPr>
      </w:pPr>
      <w:r>
        <w:rPr>
          <w:sz w:val="20"/>
        </w:rPr>
      </w:r>
    </w:p>
    <w:p>
      <w:pPr>
        <w:pStyle w:val="Normal"/>
        <w:tabs>
          <w:tab w:val="left" w:pos="720" w:leader="none"/>
        </w:tabs>
        <w:jc w:val="both"/>
        <w:rPr>
          <w:sz w:val="20"/>
        </w:rPr>
      </w:pPr>
      <w:r>
        <w:rPr>
          <w:sz w:val="20"/>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tabs>
          <w:tab w:val="left" w:pos="720" w:leader="none"/>
        </w:tabs>
        <w:jc w:val="both"/>
        <w:rPr>
          <w:sz w:val="20"/>
        </w:rPr>
      </w:pPr>
      <w:r>
        <w:rPr>
          <w:sz w:val="20"/>
        </w:rPr>
      </w:r>
    </w:p>
    <w:p>
      <w:pPr>
        <w:pStyle w:val="BodyText"/>
        <w:rPr>
          <w:rFonts w:ascii="Times New Roman" w:hAnsi="Times New Roman" w:cs="Times New Roman"/>
          <w:sz w:val="20"/>
        </w:rPr>
      </w:pPr>
      <w:r>
        <w:rPr>
          <w:rFonts w:cs="Times New Roman" w:ascii="Times New Roman" w:hAnsi="Times New Roman"/>
          <w:sz w:val="20"/>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Times New Roman" w:hAnsi="Times New Roman" w:cs="Times New Roman"/>
          <w:sz w:val="20"/>
        </w:rPr>
      </w:pPr>
      <w:r>
        <w:rPr>
          <w:rFonts w:cs="Times New Roman"/>
          <w:sz w:val="20"/>
        </w:rPr>
      </w:r>
    </w:p>
    <w:p>
      <w:pPr>
        <w:pStyle w:val="Normal"/>
        <w:tabs>
          <w:tab w:val="left" w:pos="720" w:leader="none"/>
        </w:tabs>
        <w:jc w:val="both"/>
        <w:rPr>
          <w:sz w:val="20"/>
        </w:rPr>
      </w:pPr>
      <w:r>
        <w:rPr>
          <w:sz w:val="20"/>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sz w:val="20"/>
        </w:rPr>
      </w:pPr>
      <w:r>
        <w:rPr>
          <w:sz w:val="20"/>
        </w:rPr>
      </w:r>
    </w:p>
    <w:p>
      <w:pPr>
        <w:pStyle w:val="Normal"/>
        <w:tabs>
          <w:tab w:val="left" w:pos="720" w:leader="none"/>
        </w:tabs>
        <w:jc w:val="both"/>
        <w:rPr>
          <w:sz w:val="20"/>
        </w:rPr>
      </w:pPr>
      <w:r>
        <w:rPr>
          <w:sz w:val="20"/>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jc w:val="both"/>
        <w:rPr>
          <w:sz w:val="20"/>
        </w:rPr>
      </w:pPr>
      <w:r>
        <w:rPr>
          <w:sz w:val="20"/>
        </w:rPr>
      </w:r>
    </w:p>
    <w:p>
      <w:pPr>
        <w:pStyle w:val="Normal"/>
        <w:tabs>
          <w:tab w:val="clear" w:pos="720"/>
          <w:tab w:val="left" w:pos="4320" w:leader="none"/>
          <w:tab w:val="left" w:pos="5040" w:leader="none"/>
          <w:tab w:val="left" w:pos="5760" w:leader="none"/>
        </w:tabs>
        <w:ind w:start="5040" w:end="0"/>
        <w:rPr>
          <w:sz w:val="20"/>
          <w:lang w:val="en-CA"/>
        </w:rPr>
      </w:pPr>
      <w:r>
        <w:rPr>
          <w:sz w:val="20"/>
        </w:rPr>
        <w:t>[BANK SIGNATURE]</w:t>
      </w:r>
    </w:p>
    <w:p>
      <w:pPr>
        <w:pStyle w:val="Normal"/>
        <w:tabs>
          <w:tab w:val="clear" w:pos="720"/>
          <w:tab w:val="left" w:pos="4320" w:leader="none"/>
          <w:tab w:val="left" w:pos="5040" w:leader="none"/>
          <w:tab w:val="left" w:pos="5760" w:leader="none"/>
        </w:tabs>
        <w:ind w:start="5040" w:end="0"/>
        <w:rPr>
          <w:sz w:val="20"/>
          <w:lang w:val="en-CA"/>
        </w:rPr>
      </w:pPr>
      <w:r>
        <w:rPr>
          <w:sz w:val="20"/>
          <w:lang w:val="en-CA"/>
        </w:rPr>
      </w:r>
    </w:p>
    <w:p>
      <w:pPr>
        <w:pStyle w:val="Normal"/>
        <w:jc w:val="center"/>
        <w:rPr>
          <w:sz w:val="20"/>
        </w:rPr>
      </w:pPr>
      <w:r>
        <w:rPr>
          <w:sz w:val="20"/>
        </w:rPr>
      </w:r>
    </w:p>
    <w:p>
      <w:pPr>
        <w:pStyle w:val="Heading"/>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sz w:val="20"/>
        </w:rPr>
      </w:r>
    </w:p>
    <w:p>
      <w:pPr>
        <w:pStyle w:val="Normal"/>
        <w:jc w:val="both"/>
        <w:rPr>
          <w:sz w:val="20"/>
        </w:rPr>
      </w:pPr>
      <w:r>
        <w:rPr>
          <w:sz w:val="20"/>
        </w:rPr>
      </w:r>
    </w:p>
    <w:p>
      <w:pPr>
        <w:pStyle w:val="Normal"/>
        <w:spacing w:lineRule="atLeast" w:line="240"/>
        <w:ind w:start="360" w:end="0"/>
        <w:jc w:val="both"/>
        <w:rPr>
          <w:sz w:val="20"/>
        </w:rPr>
      </w:pPr>
      <w:r>
        <w:rPr>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sz w:val="20"/>
        </w:rPr>
      </w:pPr>
      <w:r>
        <w:rPr>
          <w:sz w:val="20"/>
        </w:rPr>
      </w:r>
    </w:p>
    <w:p>
      <w:pPr>
        <w:pStyle w:val="Normal"/>
        <w:rPr>
          <w:sz w:val="20"/>
        </w:rPr>
      </w:pPr>
      <w:r>
        <w:rPr>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sectPr>
      <w:headerReference w:type="default" r:id="rId13"/>
      <w:headerReference w:type="first" r:id="rId14"/>
      <w:footerReference w:type="default" r:id="rId15"/>
      <w:footerReference w:type="first" r:id="rId16"/>
      <w:type w:val="nextPage"/>
      <w:pgSz w:w="12240" w:h="15840"/>
      <w:pgMar w:left="1152" w:right="864" w:gutter="0" w:header="720" w:top="864" w:footer="720" w:bottom="864"/>
      <w:pgNumType w:fmt="decimal"/>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6"/>
      </w:rPr>
    </w:pPr>
    <w:r>
      <w:rPr>
        <w:sz w:val="16"/>
      </w:rPr>
      <w:fldChar w:fldCharType="begin"/>
    </w:r>
    <w:r>
      <w:rPr>
        <w:sz w:val="16"/>
      </w:rPr>
      <w:instrText xml:space="preserve"> FILENAME \p </w:instrText>
    </w:r>
    <w:r>
      <w:rPr>
        <w:sz w:val="16"/>
      </w:rPr>
      <w:fldChar w:fldCharType="separate"/>
    </w:r>
    <w:r>
      <w:rPr>
        <w:sz w:val="16"/>
      </w:rPr>
      <w:t>/mnt/main-storage/datasets/enron-docs/doc/Eugene_Financial_Confirm_447459.02.doc</w:t>
    </w:r>
    <w:r>
      <w:rPr>
        <w:sz w:val="16"/>
      </w:rPr>
      <w:fldChar w:fldCharType="end"/>
    </w:r>
  </w:p>
  <w:p>
    <w:pPr>
      <w:pStyle w:val="Header"/>
      <w:jc w:val="center"/>
      <w:rPr>
        <w:sz w:val="18"/>
      </w:rPr>
    </w:pPr>
    <w:r>
      <w:rPr>
        <w:sz w:val="18"/>
      </w:rPr>
      <w:t>Exhibit 1</w:t>
    </w:r>
  </w:p>
  <w:p>
    <w:pPr>
      <w:pStyle w:val="Header"/>
      <w:jc w:val="center"/>
      <w:rPr/>
    </w:pPr>
    <w:r>
      <w:rPr>
        <w:sz w:val="18"/>
      </w:rPr>
      <w:t xml:space="preserve">Page </w:t>
    </w:r>
    <w:r>
      <w:rPr>
        <w:sz w:val="18"/>
      </w:rPr>
      <w:fldChar w:fldCharType="begin"/>
    </w:r>
    <w:r>
      <w:rPr>
        <w:sz w:val="18"/>
      </w:rPr>
      <w:instrText xml:space="preserve"> PAGE </w:instrText>
    </w:r>
    <w:r>
      <w:rPr>
        <w:sz w:val="18"/>
      </w:rPr>
      <w:fldChar w:fldCharType="separate"/>
    </w:r>
    <w:r>
      <w:rPr>
        <w:sz w:val="18"/>
      </w:rPr>
      <w:t>11</w:t>
    </w:r>
    <w:r>
      <w:rPr>
        <w:sz w:val="1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6"/>
      </w:rPr>
    </w:pPr>
    <w:r>
      <w:rPr>
        <w:sz w:val="16"/>
      </w:rPr>
      <w:fldChar w:fldCharType="begin"/>
    </w:r>
    <w:r>
      <w:rPr>
        <w:sz w:val="16"/>
      </w:rPr>
      <w:instrText xml:space="preserve"> FILENAME \p </w:instrText>
    </w:r>
    <w:r>
      <w:rPr>
        <w:sz w:val="16"/>
      </w:rPr>
      <w:fldChar w:fldCharType="separate"/>
    </w:r>
    <w:r>
      <w:rPr>
        <w:sz w:val="16"/>
      </w:rPr>
      <w:t>/mnt/main-storage/datasets/enron-docs/doc/Eugene_Financial_Confirm_447459.02.doc</w:t>
    </w:r>
    <w:r>
      <w:rPr>
        <w:sz w:val="16"/>
      </w:rPr>
      <w:fldChar w:fldCharType="end"/>
    </w:r>
  </w:p>
  <w:p>
    <w:pPr>
      <w:pStyle w:val="Header"/>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6"/>
      </w:rPr>
    </w:pPr>
    <w:r>
      <w:rPr>
        <w:sz w:val="16"/>
      </w:rPr>
      <w:fldChar w:fldCharType="begin"/>
    </w:r>
    <w:r>
      <w:rPr>
        <w:sz w:val="16"/>
      </w:rPr>
      <w:instrText xml:space="preserve"> FILENAME \p </w:instrText>
    </w:r>
    <w:r>
      <w:rPr>
        <w:sz w:val="16"/>
      </w:rPr>
      <w:fldChar w:fldCharType="separate"/>
    </w:r>
    <w:r>
      <w:rPr>
        <w:sz w:val="16"/>
      </w:rPr>
      <w:t>/mnt/main-storage/datasets/enron-docs/doc/Eugene_Financial_Confirm_447459.02.doc</w:t>
    </w:r>
    <w:r>
      <w:rPr>
        <w:sz w:val="16"/>
      </w:rPr>
      <w:fldChar w:fldCharType="end"/>
    </w:r>
  </w:p>
  <w:p>
    <w:pPr>
      <w:pStyle w:val="Header"/>
      <w:rPr>
        <w:sz w:val="16"/>
      </w:rPr>
    </w:pPr>
    <w:r>
      <w:rP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Narrow" w:hAnsi="Arial Narrow" w:cs="Arial Narrow"/>
        <w:sz w:val="16"/>
      </w:rPr>
    </w:pPr>
    <w:r>
      <w:rPr>
        <w:rFonts w:cs="Arial Narrow" w:ascii="Arial Narrow" w:hAnsi="Arial Narrow"/>
        <w:sz w:val="16"/>
      </w:rPr>
      <w:t>Annex B-1</w:t>
    </w:r>
  </w:p>
  <w:p>
    <w:pPr>
      <w:pStyle w:val="Header"/>
      <w:jc w:val="center"/>
      <w:rPr/>
    </w:pPr>
    <w:r>
      <w:rPr>
        <w:rFonts w:cs="Arial Narrow" w:ascii="Arial Narrow" w:hAnsi="Arial Narrow"/>
        <w:sz w:val="16"/>
      </w:rPr>
      <w:t xml:space="preserve">Page </w:t>
    </w:r>
    <w:r>
      <w:rPr>
        <w:rFonts w:cs="Arial Narrow" w:ascii="Arial Narrow" w:hAnsi="Arial Narrow"/>
        <w:sz w:val="16"/>
      </w:rPr>
      <w:fldChar w:fldCharType="begin"/>
    </w:r>
    <w:r>
      <w:rPr>
        <w:sz w:val="16"/>
        <w:rFonts w:cs="Arial Narrow" w:ascii="Arial Narrow" w:hAnsi="Arial Narrow"/>
      </w:rPr>
      <w:instrText xml:space="preserve"> PAGE </w:instrText>
    </w:r>
    <w:r>
      <w:rPr>
        <w:sz w:val="16"/>
        <w:rFonts w:cs="Arial Narrow" w:ascii="Arial Narrow" w:hAnsi="Arial Narrow"/>
      </w:rPr>
      <w:fldChar w:fldCharType="separate"/>
    </w:r>
    <w:r>
      <w:rPr>
        <w:sz w:val="16"/>
        <w:rFonts w:cs="Arial Narrow" w:ascii="Arial Narrow" w:hAnsi="Arial Narrow"/>
      </w:rPr>
      <w:t>5</w:t>
    </w:r>
    <w:r>
      <w:rPr>
        <w:sz w:val="16"/>
        <w:rFonts w:cs="Arial Narrow" w:ascii="Arial Narrow" w:hAnsi="Arial Narrow"/>
      </w:rPr>
      <w:fldChar w:fldCharType="end"/>
    </w:r>
    <w:r>
      <w:rPr>
        <w:rFonts w:cs="Arial Narrow" w:ascii="Arial Narrow" w:hAnsi="Arial Narrow"/>
        <w:sz w:val="16"/>
      </w:rPr>
      <w:t xml:space="preserve"> of 5</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Header"/>
                            <w:rPr/>
                          </w:pPr>
                          <w:r>
                            <w:rPr/>
                            <w:fldChar w:fldCharType="begin"/>
                          </w:r>
                          <w:r>
                            <w:rPr/>
                            <w:instrText xml:space="preserve"> PAGE </w:instrText>
                          </w:r>
                          <w:r>
                            <w:rPr/>
                            <w:fldChar w:fldCharType="separate"/>
                          </w:r>
                          <w:r>
                            <w:rPr/>
                            <w:t>7</w:t>
                          </w:r>
                          <w: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52.6pt;mso-position-horizontal:center;mso-position-horizontal-relative:margin">
              <v:fill opacity="0f"/>
              <v:textbox inset="0in,0in,0in,0in">
                <w:txbxContent>
                  <w:p>
                    <w:pPr>
                      <w:pStyle w:val="Header"/>
                      <w:rPr/>
                    </w:pPr>
                    <w:r>
                      <w:rPr/>
                      <w:fldChar w:fldCharType="begin"/>
                    </w:r>
                    <w:r>
                      <w:rPr/>
                      <w:instrText xml:space="preserve"> PAGE </w:instrText>
                    </w:r>
                    <w:r>
                      <w:rPr/>
                      <w:fldChar w:fldCharType="separate"/>
                    </w:r>
                    <w:r>
                      <w:rPr/>
                      <w:t>7</w:t>
                    </w:r>
                    <w:r>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jc w:val="center"/>
      <w:rPr>
        <w:sz w:val="26"/>
      </w:rPr>
    </w:pPr>
    <w:r>
      <w:rPr>
        <w:sz w:val="2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jc w:val="center"/>
      <w:rPr>
        <w:sz w:val="26"/>
      </w:rPr>
    </w:pPr>
    <w:r>
      <w:rPr>
        <w:sz w:val="2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tabs>
        <w:tab w:val="clear" w:pos="720"/>
        <w:tab w:val="right" w:pos="7200" w:leader="none"/>
      </w:tabs>
      <w:rPr/>
    </w:pPr>
    <w:r>
      <w:rPr/>
      <w:tab/>
      <w:tab/>
    </w:r>
    <w:r>
      <w:rPr>
        <w:sz w:val="20"/>
      </w:rPr>
      <w:t xml:space="preserve">Deal No. </w:t>
    </w:r>
    <w:r>
      <w:rPr>
        <w:sz w:val="22"/>
      </w:rPr>
      <w:fldChar w:fldCharType="begin"/>
    </w:r>
    <w:r>
      <w:rPr>
        <w:sz w:val="22"/>
      </w:rPr>
      <w:instrText xml:space="preserve"> TITLE </w:instrText>
    </w:r>
    <w:r>
      <w:rPr>
        <w:sz w:val="22"/>
      </w:rPr>
      <w:fldChar w:fldCharType="separate"/>
    </w:r>
    <w:r>
      <w:rPr>
        <w:sz w:val="22"/>
      </w:rPr>
      <w:t>447459.2</w:t>
    </w:r>
    <w:r>
      <w:rPr>
        <w:sz w:val="22"/>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0"/>
        </w:tabs>
        <w:ind w:start="0" w:hanging="0"/>
      </w:p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2"/>
      <w:u w:val="single"/>
      <w:lang w:eastAsia="en-US"/>
    </w:rPr>
  </w:style>
  <w:style w:type="paragraph" w:styleId="Heading2">
    <w:name w:val="heading 2"/>
    <w:basedOn w:val="Normal"/>
    <w:next w:val="Normal"/>
    <w:qFormat/>
    <w:pPr>
      <w:keepNext w:val="true"/>
      <w:numPr>
        <w:ilvl w:val="1"/>
        <w:numId w:val="1"/>
      </w:numPr>
      <w:jc w:val="center"/>
      <w:outlineLvl w:val="1"/>
    </w:pPr>
    <w:rPr>
      <w:b/>
      <w:sz w:val="22"/>
      <w:lang w:eastAsia="en-US"/>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jc w:val="center"/>
      <w:outlineLvl w:val="3"/>
    </w:pPr>
    <w:rPr>
      <w:b/>
      <w:sz w:val="20"/>
      <w:u w:val="single"/>
    </w:rPr>
  </w:style>
  <w:style w:type="paragraph" w:styleId="Heading5">
    <w:name w:val="heading 5"/>
    <w:basedOn w:val="Normal"/>
    <w:next w:val="Normal"/>
    <w:qFormat/>
    <w:pPr>
      <w:keepNext w:val="true"/>
      <w:numPr>
        <w:ilvl w:val="4"/>
        <w:numId w:val="1"/>
      </w:numPr>
      <w:jc w:val="center"/>
      <w:outlineLvl w:val="4"/>
    </w:pPr>
    <w:rPr>
      <w:b/>
      <w:sz w:val="20"/>
    </w:rPr>
  </w:style>
  <w:style w:type="paragraph" w:styleId="Heading6">
    <w:name w:val="heading 6"/>
    <w:basedOn w:val="Normal"/>
    <w:next w:val="Normal"/>
    <w:qFormat/>
    <w:pPr>
      <w:keepNext w:val="true"/>
      <w:numPr>
        <w:ilvl w:val="5"/>
        <w:numId w:val="1"/>
      </w:numPr>
      <w:jc w:val="center"/>
      <w:outlineLvl w:val="5"/>
    </w:pPr>
    <w:rPr>
      <w:b/>
      <w:sz w:val="20"/>
    </w:rPr>
  </w:style>
  <w:style w:type="paragraph" w:styleId="Heading7">
    <w:name w:val="heading 7"/>
    <w:basedOn w:val="Normal"/>
    <w:next w:val="Normal"/>
    <w:qFormat/>
    <w:pPr>
      <w:keepNext w:val="true"/>
      <w:numPr>
        <w:ilvl w:val="6"/>
        <w:numId w:val="1"/>
      </w:numPr>
      <w:jc w:val="center"/>
      <w:outlineLvl w:val="6"/>
    </w:pPr>
    <w:rPr>
      <w:rFonts w:ascii="Arial" w:hAnsi="Arial" w:cs="Arial"/>
      <w:b/>
      <w:sz w:val="18"/>
      <w:u w:val="single"/>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9z0">
    <w:name w:val="WW8Num9z0"/>
    <w:qFormat/>
    <w:rPr>
      <w:b w:val="false"/>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tabs>
        <w:tab w:val="clear" w:pos="720"/>
        <w:tab w:val="left" w:pos="180" w:leader="none"/>
        <w:tab w:val="left" w:pos="1170" w:leader="none"/>
      </w:tabs>
      <w:jc w:val="both"/>
    </w:pPr>
    <w:rPr>
      <w:rFonts w:ascii="Arial Narrow" w:hAnsi="Arial Narrow" w:cs="Arial Narrow"/>
      <w:sz w:val="18"/>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Index1">
    <w:name w:val="index 1"/>
    <w:basedOn w:val="Normal"/>
    <w:next w:val="Normal"/>
    <w:pPr/>
    <w:rPr>
      <w:rFonts w:ascii="Arial" w:hAnsi="Arial" w:cs="Arial"/>
      <w:sz w:val="20"/>
    </w:rPr>
  </w:style>
  <w:style w:type="paragraph" w:styleId="Justified">
    <w:name w:val="Justified"/>
    <w:basedOn w:val="Normal"/>
    <w:next w:val="Heading2"/>
    <w:qFormat/>
    <w:pPr>
      <w:spacing w:before="0" w:after="120"/>
      <w:jc w:val="both"/>
    </w:pPr>
    <w:rPr>
      <w:rFonts w:ascii="Arial" w:hAnsi="Arial" w:cs="Arial"/>
      <w:sz w:val="22"/>
    </w:rPr>
  </w:style>
  <w:style w:type="paragraph" w:styleId="Level1">
    <w:name w:val="Level 1"/>
    <w:basedOn w:val="Normal"/>
    <w:qFormat/>
    <w:pPr>
      <w:widowControl w:val="false"/>
      <w:numPr>
        <w:ilvl w:val="0"/>
        <w:numId w:val="2"/>
      </w:numPr>
      <w:ind w:hanging="720" w:start="1440" w:end="0"/>
      <w:outlineLvl w:val="0"/>
    </w:pPr>
    <w:rPr/>
  </w:style>
  <w:style w:type="paragraph" w:styleId="Level3">
    <w:name w:val="Level 3"/>
    <w:basedOn w:val="Normal"/>
    <w:qFormat/>
    <w:pPr>
      <w:widowControl w:val="false"/>
      <w:numPr>
        <w:ilvl w:val="0"/>
        <w:numId w:val="2"/>
      </w:numPr>
      <w:ind w:hanging="720" w:start="2160" w:end="0"/>
      <w:outlineLvl w:val="2"/>
    </w:pPr>
    <w:rPr/>
  </w:style>
  <w:style w:type="paragraph" w:styleId="Level2">
    <w:name w:val="Level 2"/>
    <w:basedOn w:val="Normal"/>
    <w:qFormat/>
    <w:pPr>
      <w:widowControl w:val="false"/>
      <w:outlineLvl w:val="1"/>
    </w:pPr>
    <w:rPr/>
  </w:style>
  <w:style w:type="paragraph" w:styleId="BodyText2">
    <w:name w:val="Body Text 2"/>
    <w:basedOn w:val="Normal"/>
    <w:qFormat/>
    <w:pPr>
      <w:jc w:val="both"/>
    </w:pPr>
    <w:rPr>
      <w:color w:val="008000"/>
      <w:sz w:val="20"/>
    </w:rPr>
  </w:style>
  <w:style w:type="paragraph" w:styleId="BodyTextIndent2">
    <w:name w:val="Body Text Indent 2"/>
    <w:basedOn w:val="Normal"/>
    <w:qFormat/>
    <w:pPr>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1.xml"/><Relationship Id="rId7" Type="http://schemas.openxmlformats.org/officeDocument/2006/relationships/footer" Target="footer4.xml"/><Relationship Id="rId8" Type="http://schemas.openxmlformats.org/officeDocument/2006/relationships/footer" Target="footer5.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header" Target="header4.xml"/><Relationship Id="rId14" Type="http://schemas.openxmlformats.org/officeDocument/2006/relationships/header" Target="header5.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2000-11-22T20:03:00Z</dcterms:created>
  <dc:creator>ECT</dc:creator>
  <dc:description/>
  <dc:language>en-CA</dc:language>
  <cp:lastModifiedBy>Melissa Murphy</cp:lastModifiedBy>
  <dcterms:modified xsi:type="dcterms:W3CDTF">2000-11-22T20:03:00Z</dcterms:modified>
  <cp:revision>2</cp:revision>
  <dc:subject/>
  <dc:title>447459.2</dc:title>
</cp:coreProperties>
</file>