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80"/>
        </w:pBdr>
        <w:rPr>
          <w:rFonts w:ascii="Arial" w:hAnsi="Arial" w:cs="Arial"/>
          <w:b/>
          <w:color w:val="000080"/>
          <w:sz w:val="48"/>
        </w:rPr>
      </w:pPr>
      <w:r>
        <w:rPr>
          <w:rFonts w:cs="Arial" w:ascii="Arial" w:hAnsi="Arial"/>
          <w:b/>
          <w:color w:val="000080"/>
          <w:sz w:val="48"/>
        </w:rPr>
        <w:t>Technical Corner</w:t>
      </w:r>
    </w:p>
    <w:p>
      <w:pPr>
        <w:pStyle w:val="BodyText"/>
        <w:rPr>
          <w:rFonts w:ascii="Arial" w:hAnsi="Arial" w:cs="Arial"/>
          <w:b/>
          <w:color w:val="000080"/>
          <w:sz w:val="28"/>
        </w:rPr>
      </w:pPr>
      <w:r>
        <w:rPr>
          <w:rFonts w:cs="Arial" w:ascii="Arial" w:hAnsi="Arial"/>
          <w:b/>
          <w:color w:val="000080"/>
          <w:sz w:val="28"/>
        </w:rPr>
      </w:r>
    </w:p>
    <w:p>
      <w:pPr>
        <w:pStyle w:val="Heading"/>
        <w:jc w:val="start"/>
        <w:rPr>
          <w:sz w:val="24"/>
        </w:rPr>
      </w:pPr>
      <w:r>
        <w:rPr>
          <w:sz w:val="24"/>
        </w:rPr>
        <w:t>Estimating Volatilities and Correlations from Historical Market Data</w:t>
      </w:r>
    </w:p>
    <w:p>
      <w:pPr>
        <w:pStyle w:val="Normal"/>
        <w:jc w:val="center"/>
        <w:rPr>
          <w:sz w:val="28"/>
        </w:rPr>
      </w:pPr>
      <w:r>
        <w:rPr>
          <w:sz w:val="28"/>
        </w:rPr>
      </w:r>
    </w:p>
    <w:p>
      <w:pPr>
        <w:pStyle w:val="Subtitle"/>
        <w:jc w:val="both"/>
        <w:rPr>
          <w:b w:val="false"/>
          <w:sz w:val="24"/>
        </w:rPr>
      </w:pPr>
      <w:r>
        <w:rPr>
          <w:b w:val="false"/>
          <w:sz w:val="24"/>
        </w:rPr>
        <w:t>By Kenneth Parkhill</w:t>
      </w:r>
    </w:p>
    <w:p>
      <w:pPr>
        <w:pStyle w:val="Normal"/>
        <w:jc w:val="both"/>
        <w:rPr>
          <w:b/>
          <w:sz w:val="24"/>
        </w:rPr>
      </w:pPr>
      <w:r>
        <w:rPr>
          <w:b/>
          <w:sz w:val="24"/>
        </w:rPr>
      </w:r>
    </w:p>
    <w:p>
      <w:pPr>
        <w:pStyle w:val="Normal"/>
        <w:jc w:val="both"/>
        <w:rPr>
          <w:sz w:val="24"/>
        </w:rPr>
      </w:pPr>
      <w:r>
        <w:rPr>
          <w:sz w:val="24"/>
        </w:rPr>
        <w:t xml:space="preserve">Historical volatilities and correlations, along with implied values from market prices, are the primary avenues traders have to project future market behavior.  In order to develop intuition about future market movements and to confirm one’s views, it is often useful to analyze a particular commodity futures contract or index price series.  This article presents a methodology for characterizing how markets have moved in the past using Excel workbooks.  An example workbook is presented, FetchContract.xls, that facilitates the retrieval and automatic processing of market data, and presents graphs and summary statistics of historical price changes and returns.  </w:t>
      </w:r>
    </w:p>
    <w:p>
      <w:pPr>
        <w:pStyle w:val="Normal"/>
        <w:jc w:val="both"/>
        <w:rPr>
          <w:sz w:val="24"/>
        </w:rPr>
      </w:pPr>
      <w:r>
        <w:rPr>
          <w:sz w:val="24"/>
        </w:rPr>
      </w:r>
    </w:p>
    <w:p>
      <w:pPr>
        <w:pStyle w:val="Normal"/>
        <w:jc w:val="both"/>
        <w:rPr>
          <w:sz w:val="24"/>
        </w:rPr>
      </w:pPr>
      <w:r>
        <w:rPr>
          <w:sz w:val="24"/>
        </w:rPr>
        <w:t xml:space="preserve">Summary statistics are crucial input to value at risk and derivative pricing models.  Value at risk is normally a function of current volatility and correlation, because it depends on possible changes in portfolio value over a very short period of time.  Derivative valuations are normally developed from volatility and correlation forecasts, and historical statistics are often useful starting points to develop such forecasts.  Rolling correlations and volatilities provide estimates of changes in the statistics over time.  Shorter rolling periods increase the granularity of the temporal estimates, but they also increase their uncertainty.  </w:t>
      </w:r>
    </w:p>
    <w:p>
      <w:pPr>
        <w:pStyle w:val="Normal"/>
        <w:jc w:val="both"/>
        <w:rPr>
          <w:sz w:val="24"/>
        </w:rPr>
      </w:pPr>
      <w:r>
        <w:rPr>
          <w:sz w:val="24"/>
        </w:rPr>
      </w:r>
    </w:p>
    <w:p>
      <w:pPr>
        <w:pStyle w:val="Normal"/>
        <w:jc w:val="both"/>
        <w:rPr>
          <w:sz w:val="24"/>
        </w:rPr>
      </w:pPr>
      <w:r>
        <w:rPr>
          <w:sz w:val="24"/>
        </w:rPr>
        <w:t xml:space="preserve">FetchContract.xls is an example of an analysis framework built within Excel that allows users to quickly scan for weekly, monthly, and seasonal patterns in the returns.  Currently, the workbook is configured to retrieve prices from the EGSPROD family of ERMS databases, as well as the LIM database servers, but Excel is not limited to these databases.  The research group and its clients can expand sources for automatic retrieval into workbooks using VBA macros or other add-ins on an as-needed basis.  The flexibility and expandability of a familiar format may enable users to take ownership of it more readily.  </w:t>
      </w:r>
      <w:r>
        <w:br w:type="page"/>
      </w:r>
    </w:p>
    <w:p>
      <w:pPr>
        <w:pStyle w:val="Normal"/>
        <w:jc w:val="center"/>
        <w:rPr>
          <w:b/>
          <w:bCs/>
          <w:sz w:val="24"/>
        </w:rPr>
      </w:pPr>
      <w:r>
        <w:rPr>
          <w:b/>
          <w:bCs/>
          <w:sz w:val="24"/>
        </w:rPr>
        <w:t>Figure 1:</w:t>
      </w:r>
    </w:p>
    <w:p>
      <w:pPr>
        <w:pStyle w:val="Normal"/>
        <w:jc w:val="center"/>
        <w:rPr>
          <w:b/>
          <w:bCs/>
          <w:sz w:val="24"/>
        </w:rPr>
      </w:pPr>
      <w:r>
        <w:rPr>
          <w:b/>
          <w:bCs/>
          <w:sz w:val="24"/>
        </w:rPr>
        <w:t>User-interface for FetchContracts.xls</w:t>
      </w:r>
    </w:p>
    <w:p>
      <w:pPr>
        <w:pStyle w:val="Normal"/>
        <w:jc w:val="center"/>
        <w:rPr>
          <w:b/>
          <w:bCs/>
          <w:sz w:val="24"/>
        </w:rPr>
      </w:pPr>
      <w:r>
        <w:rPr>
          <w:b/>
          <w:bCs/>
          <w:sz w:val="24"/>
        </w:rPr>
      </w:r>
    </w:p>
    <w:p>
      <w:pPr>
        <w:pStyle w:val="Normal"/>
        <w:jc w:val="both"/>
        <w:rPr>
          <w:sz w:val="24"/>
        </w:rPr>
      </w:pPr>
      <w:r>
        <w:rPr>
          <w:sz w:val="24"/>
        </w:rPr>
        <w:drawing>
          <wp:anchor behindDoc="0" distT="0" distB="0" distL="114935" distR="114935" simplePos="0" locked="0" layoutInCell="0" allowOverlap="1" relativeHeight="2">
            <wp:simplePos x="0" y="0"/>
            <wp:positionH relativeFrom="column">
              <wp:align>center</wp:align>
            </wp:positionH>
            <wp:positionV relativeFrom="paragraph">
              <wp:posOffset>635</wp:posOffset>
            </wp:positionV>
            <wp:extent cx="5485130" cy="326263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6" r="-3" b="-6"/>
                    <a:stretch>
                      <a:fillRect/>
                    </a:stretch>
                  </pic:blipFill>
                  <pic:spPr bwMode="auto">
                    <a:xfrm>
                      <a:off x="0" y="0"/>
                      <a:ext cx="5485130" cy="3262630"/>
                    </a:xfrm>
                    <a:prstGeom prst="rect">
                      <a:avLst/>
                    </a:prstGeom>
                    <a:noFill/>
                  </pic:spPr>
                </pic:pic>
              </a:graphicData>
            </a:graphic>
          </wp:anchor>
        </w:drawing>
      </w:r>
    </w:p>
    <w:p>
      <w:pPr>
        <w:pStyle w:val="Normal"/>
        <w:jc w:val="both"/>
        <w:rPr/>
      </w:pPr>
      <w:r>
        <w:rPr>
          <w:sz w:val="24"/>
        </w:rPr>
        <w:t xml:space="preserve">FetchContract.xls enables user’s to retrieve closing prices for any available contract in the EGSPROD database.  For example in Figure 1, </w:t>
      </w:r>
      <w:r>
        <w:rPr>
          <w:i/>
          <w:iCs/>
          <w:sz w:val="24"/>
        </w:rPr>
        <w:t>First Contract</w:t>
      </w:r>
      <w:r>
        <w:rPr>
          <w:sz w:val="24"/>
        </w:rPr>
        <w:t xml:space="preserve"> is defined as the prompt NYMEX Heating Oil futures contract.  If this was all the user specified, then the NYMEX Heating Oil prompt prices from 9/1/00 to 4/1/01 would be retrieved from EGSPROD32, the daily returns would be calculated (</w:t>
      </w:r>
      <w:r>
        <w:rPr>
          <w:i/>
          <w:iCs/>
          <w:sz w:val="24"/>
        </w:rPr>
        <w:t>ln</w:t>
      </w:r>
      <w:r>
        <w:rPr>
          <w:sz w:val="24"/>
        </w:rPr>
        <w:t>(</w:t>
      </w:r>
      <w:r>
        <w:rPr>
          <w:i/>
          <w:iCs/>
          <w:sz w:val="24"/>
        </w:rPr>
        <w:t>F</w:t>
      </w:r>
      <w:r>
        <w:rPr>
          <w:rFonts w:cs="Times" w:ascii="Times" w:hAnsi="Times"/>
          <w:sz w:val="24"/>
          <w:vertAlign w:val="subscript"/>
        </w:rPr>
        <w:t>i</w:t>
      </w:r>
      <w:r>
        <w:rPr>
          <w:sz w:val="24"/>
        </w:rPr>
        <w:t>/</w:t>
      </w:r>
      <w:r>
        <w:rPr>
          <w:i/>
          <w:iCs/>
          <w:sz w:val="24"/>
        </w:rPr>
        <w:t>F</w:t>
      </w:r>
      <w:r>
        <w:rPr>
          <w:rFonts w:cs="Times" w:ascii="Times" w:hAnsi="Times"/>
          <w:sz w:val="24"/>
          <w:vertAlign w:val="subscript"/>
        </w:rPr>
        <w:t>i-1</w:t>
      </w:r>
      <w:r>
        <w:rPr>
          <w:sz w:val="24"/>
        </w:rPr>
        <w:t xml:space="preserve">)), the average volatility of the returns during the period would be calculated, and the rolling volatility in the returns over the past </w:t>
      </w:r>
      <w:r>
        <w:rPr>
          <w:i/>
          <w:iCs/>
          <w:sz w:val="24"/>
        </w:rPr>
        <w:t>X</w:t>
      </w:r>
      <w:r>
        <w:rPr>
          <w:sz w:val="24"/>
        </w:rPr>
        <w:t>-days would be plotted.  In addition to the prompt contract, individual contract price histories (e.g. for the May 2001 contract) can also be retrieved.</w:t>
      </w:r>
    </w:p>
    <w:p>
      <w:pPr>
        <w:pStyle w:val="Normal"/>
        <w:jc w:val="both"/>
        <w:rPr>
          <w:sz w:val="24"/>
        </w:rPr>
      </w:pPr>
      <w:r>
        <w:rPr>
          <w:sz w:val="24"/>
        </w:rPr>
      </w:r>
    </w:p>
    <w:p>
      <w:pPr>
        <w:pStyle w:val="Normal"/>
        <w:jc w:val="both"/>
        <w:rPr/>
      </w:pPr>
      <w:r>
        <w:rPr>
          <w:sz w:val="24"/>
        </w:rPr>
        <w:t xml:space="preserve">When </w:t>
      </w:r>
      <w:r>
        <w:rPr>
          <w:i/>
          <w:iCs/>
          <w:sz w:val="24"/>
        </w:rPr>
        <w:t>Second Contract</w:t>
      </w:r>
      <w:r>
        <w:rPr>
          <w:sz w:val="24"/>
        </w:rPr>
        <w:t xml:space="preserve"> is specified, the correlation between the first and second contracts is also calculated.  In the example shown in Figure 1, the user has requested the spot index for the Barge price for No. 2 Heating Oil at New York Harbor.  Spot prices for NY Harbor HO are retrieved from LIM.  In the example shown, the average correlation was about 0.978.  </w:t>
      </w:r>
      <w:r>
        <w:rPr>
          <w:i/>
          <w:iCs/>
          <w:sz w:val="24"/>
        </w:rPr>
        <w:t>Second Contract</w:t>
      </w:r>
      <w:r>
        <w:rPr>
          <w:sz w:val="24"/>
        </w:rPr>
        <w:t xml:space="preserve"> is not limited to spot indices, but can also be retrieved from ERMS.  In Figure 2, for example, the May-01 MTBE forward contract is compared to the May-01 NYMEX HO future contract.  If the Add Basis Flag had been checked, the </w:t>
      </w:r>
      <w:r>
        <w:rPr>
          <w:i/>
          <w:iCs/>
          <w:sz w:val="24"/>
        </w:rPr>
        <w:t>First Contract</w:t>
      </w:r>
      <w:r>
        <w:rPr>
          <w:sz w:val="24"/>
        </w:rPr>
        <w:t xml:space="preserve"> would have been added to the </w:t>
      </w:r>
      <w:r>
        <w:rPr>
          <w:i/>
          <w:iCs/>
          <w:sz w:val="24"/>
        </w:rPr>
        <w:t>Second Contract</w:t>
      </w:r>
      <w:r>
        <w:rPr>
          <w:sz w:val="24"/>
        </w:rPr>
        <w:t xml:space="preserve"> before comparing the two, as though the </w:t>
      </w:r>
      <w:r>
        <w:rPr>
          <w:i/>
          <w:iCs/>
          <w:sz w:val="24"/>
        </w:rPr>
        <w:t>Second</w:t>
      </w:r>
      <w:r>
        <w:rPr>
          <w:sz w:val="24"/>
        </w:rPr>
        <w:t xml:space="preserve"> were a basis or index for the </w:t>
      </w:r>
      <w:r>
        <w:rPr>
          <w:i/>
          <w:iCs/>
          <w:sz w:val="24"/>
        </w:rPr>
        <w:t>First</w:t>
      </w:r>
      <w:r>
        <w:rPr>
          <w:sz w:val="24"/>
        </w:rPr>
        <w:t>.</w:t>
      </w:r>
    </w:p>
    <w:p>
      <w:pPr>
        <w:pStyle w:val="Normal"/>
        <w:jc w:val="both"/>
        <w:rPr>
          <w:sz w:val="24"/>
        </w:rPr>
      </w:pPr>
      <w:r>
        <w:rPr>
          <w:sz w:val="24"/>
        </w:rPr>
      </w:r>
    </w:p>
    <w:p>
      <w:pPr>
        <w:pStyle w:val="Normal"/>
        <w:jc w:val="both"/>
        <w:rPr>
          <w:sz w:val="24"/>
        </w:rPr>
      </w:pPr>
      <w:r>
        <w:rPr>
          <w:sz w:val="24"/>
        </w:rPr>
      </w:r>
      <w:r>
        <w:br w:type="page"/>
      </w:r>
    </w:p>
    <w:p>
      <w:pPr>
        <w:pStyle w:val="Normal"/>
        <w:jc w:val="center"/>
        <w:rPr>
          <w:b/>
          <w:bCs/>
          <w:sz w:val="24"/>
        </w:rPr>
      </w:pPr>
      <w:r>
        <w:rPr>
          <w:b/>
          <w:bCs/>
          <w:sz w:val="24"/>
        </w:rPr>
        <w:t>Figure 2:</w:t>
      </w:r>
    </w:p>
    <w:p>
      <w:pPr>
        <w:pStyle w:val="Normal"/>
        <w:jc w:val="center"/>
        <w:rPr>
          <w:b/>
          <w:bCs/>
          <w:sz w:val="24"/>
        </w:rPr>
      </w:pPr>
      <w:r>
        <w:rPr>
          <w:b/>
          <w:bCs/>
          <w:sz w:val="24"/>
        </w:rPr>
        <w:t>Example of 2 Specific Contracts</w:t>
      </w:r>
    </w:p>
    <w:p>
      <w:pPr>
        <w:pStyle w:val="Normal"/>
        <w:jc w:val="center"/>
        <w:rPr>
          <w:b/>
          <w:bCs/>
          <w:sz w:val="24"/>
        </w:rPr>
      </w:pPr>
      <w:r>
        <w:rPr>
          <w:b/>
          <w:bCs/>
          <w:sz w:val="24"/>
        </w:rPr>
      </w:r>
    </w:p>
    <w:p>
      <w:pPr>
        <w:pStyle w:val="Normal"/>
        <w:jc w:val="both"/>
        <w:rPr>
          <w:sz w:val="24"/>
        </w:rPr>
      </w:pPr>
      <w:r>
        <w:rPr>
          <w:sz w:val="24"/>
        </w:rPr>
        <w:drawing>
          <wp:anchor behindDoc="0" distT="0" distB="0" distL="114935" distR="114935" simplePos="0" locked="0" layoutInCell="0" allowOverlap="1" relativeHeight="3">
            <wp:simplePos x="0" y="0"/>
            <wp:positionH relativeFrom="column">
              <wp:align>center</wp:align>
            </wp:positionH>
            <wp:positionV relativeFrom="paragraph">
              <wp:posOffset>635</wp:posOffset>
            </wp:positionV>
            <wp:extent cx="5485130" cy="326263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6" r="-3" b="-6"/>
                    <a:stretch>
                      <a:fillRect/>
                    </a:stretch>
                  </pic:blipFill>
                  <pic:spPr bwMode="auto">
                    <a:xfrm>
                      <a:off x="0" y="0"/>
                      <a:ext cx="5485130" cy="3262630"/>
                    </a:xfrm>
                    <a:prstGeom prst="rect">
                      <a:avLst/>
                    </a:prstGeom>
                    <a:noFill/>
                  </pic:spPr>
                </pic:pic>
              </a:graphicData>
            </a:graphic>
          </wp:anchor>
        </w:drawing>
      </w:r>
    </w:p>
    <w:p>
      <w:pPr>
        <w:pStyle w:val="Normal"/>
        <w:jc w:val="both"/>
        <w:rPr>
          <w:sz w:val="24"/>
        </w:rPr>
      </w:pPr>
      <w:r>
        <w:rPr>
          <w:sz w:val="24"/>
        </w:rPr>
      </w:r>
    </w:p>
    <w:p>
      <w:pPr>
        <w:pStyle w:val="Normal"/>
        <w:jc w:val="both"/>
        <w:rPr>
          <w:sz w:val="24"/>
        </w:rPr>
      </w:pPr>
      <w:r>
        <w:rPr>
          <w:sz w:val="24"/>
        </w:rPr>
        <w:t>The analysis framework outlined in FetchContract.xls is not platform dependent.  It may be created in something as readily accessible to lay users as Excel, or in some other machine code built for speed.  The benefit and the danger of creating an analysis framework in a user-friendly format is the greater accessibility of the analysis.  Its relatively easy to track calculations in Excel.  Unfortunately it’s also easy to introduce errors in the analysis that remain unobserved.  Often when an analysis is flawed in a computer program, the executable simply won’t run.  Excel, on the other hand, is less likely to returns errors messages, and more likely to report incorrect results.  When used properly, however, analyses programmed in Excel are just as accurate, easier to generate, and plenty fast.</w:t>
      </w:r>
    </w:p>
    <w:p>
      <w:pPr>
        <w:pStyle w:val="Normal"/>
        <w:jc w:val="both"/>
        <w:rPr>
          <w:sz w:val="24"/>
        </w:rPr>
      </w:pPr>
      <w:r>
        <w:rPr>
          <w:sz w:val="24"/>
        </w:rPr>
      </w:r>
    </w:p>
    <w:p>
      <w:pPr>
        <w:pStyle w:val="Normal"/>
        <w:jc w:val="both"/>
        <w:rPr>
          <w:i/>
          <w:i/>
          <w:iCs/>
          <w:sz w:val="24"/>
        </w:rPr>
      </w:pPr>
      <w:r>
        <w:rPr>
          <w:i/>
          <w:iCs/>
          <w:sz w:val="24"/>
        </w:rPr>
        <w:t xml:space="preserve"> </w:t>
      </w:r>
      <w:r>
        <w:rPr>
          <w:i/>
          <w:iCs/>
          <w:sz w:val="24"/>
        </w:rPr>
        <w:t>Thanks to Bob Lee for contributing to this article.</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mic Sans MS">
    <w:charset w:val="00" w:characterSet="windows-1252"/>
    <w:family w:val="script"/>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rFonts w:ascii="Wingdings" w:hAnsi="Wingdings" w:cs="Wingdings"/>
      <w:sz w:val="16"/>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5z0">
    <w:name w:val="WW8Num55z0"/>
    <w:qFormat/>
    <w:rPr/>
  </w:style>
  <w:style w:type="character" w:styleId="WW8Num56z0">
    <w:name w:val="WW8Num56z0"/>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sz w:val="22"/>
    </w:rPr>
  </w:style>
  <w:style w:type="character" w:styleId="WW8Num59z0">
    <w:name w:val="WW8Num59z0"/>
    <w:qFormat/>
    <w:rPr/>
  </w:style>
  <w:style w:type="character" w:styleId="WW8Num60z0">
    <w:name w:val="WW8Num60z0"/>
    <w:qFormat/>
    <w:rPr>
      <w:rFonts w:ascii="Symbol" w:hAnsi="Symbol" w:cs="Symbol"/>
    </w:rPr>
  </w:style>
  <w:style w:type="character" w:styleId="WW8Num63z0">
    <w:name w:val="WW8Num63z0"/>
    <w:qFormat/>
    <w:rPr>
      <w:rFonts w:ascii="Wingdings" w:hAnsi="Wingdings" w:cs="Wingdings"/>
    </w:rPr>
  </w:style>
  <w:style w:type="character" w:styleId="WW8Num65z0">
    <w:name w:val="WW8Num65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1z0">
    <w:name w:val="WW8Num71z0"/>
    <w:qFormat/>
    <w:rPr/>
  </w:style>
  <w:style w:type="character" w:styleId="WW8NumSt66z0">
    <w:name w:val="WW8NumSt66z0"/>
    <w:qFormat/>
    <w:rPr>
      <w:rFonts w:ascii="Times New Roman" w:hAnsi="Times New Roman" w:cs="Times New Roman"/>
      <w:sz w:val="24"/>
    </w:rPr>
  </w:style>
  <w:style w:type="character" w:styleId="WW8NumSt67z0">
    <w:name w:val="WW8NumSt67z0"/>
    <w:qFormat/>
    <w:rPr>
      <w:rFonts w:ascii="Comic Sans MS" w:hAnsi="Comic Sans MS" w:cs="Comic Sans MS"/>
      <w:sz w:val="30"/>
    </w:rPr>
  </w:style>
  <w:style w:type="character" w:styleId="DefaultParagraphFont">
    <w:name w:val="Default Paragraph Font"/>
    <w:qFormat/>
    <w:rPr/>
  </w:style>
  <w:style w:type="paragraph" w:styleId="Heading">
    <w:name w:val="Heading"/>
    <w:basedOn w:val="Normal"/>
    <w:next w:val="BodyText"/>
    <w:qFormat/>
    <w:pPr>
      <w:jc w:val="center"/>
      <w:outlineLvl w:val="0"/>
    </w:pPr>
    <w:rPr>
      <w:b/>
    </w:rPr>
  </w:style>
  <w:style w:type="paragraph" w:styleId="BodyText">
    <w:name w:val="Body Text"/>
    <w:basedOn w:val="Normal"/>
    <w:pPr>
      <w:tabs>
        <w:tab w:val="clear" w:pos="720"/>
        <w:tab w:val="left" w:pos="144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Subtitle">
    <w:name w:val="Subtitle"/>
    <w:basedOn w:val="Normal"/>
    <w:next w:val="BodyText"/>
    <w:qFormat/>
    <w:pPr>
      <w:outlineLvl w:val="0"/>
    </w:pPr>
    <w:rPr>
      <w:b/>
      <w:i/>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2001-06-08T11:17:00Z</dcterms:created>
  <dc:creator>Kenneth Parkhill</dc:creator>
  <dc:description/>
  <cp:keywords>volatility correlation historical data estimation</cp:keywords>
  <dc:language>en-CA</dc:language>
  <cp:lastModifiedBy>Kenneth Parkhill</cp:lastModifiedBy>
  <cp:lastPrinted>2001-05-14T14:42:00Z</cp:lastPrinted>
  <dcterms:modified xsi:type="dcterms:W3CDTF">2001-06-08T11:29:00Z</dcterms:modified>
  <cp:revision>3</cp:revision>
  <dc:subject/>
  <dc:title>Estimating Volatilities and Correlations</dc:title>
</cp:coreProperties>
</file>