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8"/>
        <w:rPr/>
      </w:pPr>
      <w:r>
        <w:rPr/>
        <w:t xml:space="preserve">Escrow Language for insertion in the Black Hills Tolling Confirmation </w:t>
      </w:r>
    </w:p>
    <w:p>
      <w:pPr>
        <w:pStyle w:val="Normal"/>
        <w:rPr>
          <w:sz w:val="22"/>
        </w:rPr>
      </w:pPr>
      <w:r>
        <w:rPr>
          <w:sz w:val="22"/>
        </w:rPr>
      </w:r>
    </w:p>
    <w:p>
      <w:pPr>
        <w:pStyle w:val="BodyTextIndent"/>
        <w:widowControl/>
        <w:ind w:start="0" w:end="0"/>
        <w:rPr/>
      </w:pPr>
      <w:r>
        <w:rPr>
          <w:sz w:val="22"/>
        </w:rPr>
        <w:t xml:space="preserve">a) In consideration of the Transaction described herein, EPMI agrees to pay Black Hills a monthly Fixed Tolling Premium for the duration of the Term as well as the applicable Variable Tolling Fee.  For payments due in respect of the months from January 2001 to and including August 2001 (hereinafter referred to as the “Escrow Period”), EPMI shall deposit or cause to be deposited such payments on a monthly basis into an interest bearing account (the “Escrow Account”) with [La Salle Bank, National Association] (the “Escrow Agent”).  All amounts deposited into the Escrow Account together with any interest accrued thereon shall be deemed the escrowed funds (the Escrowed Funds”). The Escrow Agent shall provide notice to Black Hills and EPMI as to the amounts deposited with it.  The Escrow Agent shall hold the Escrow Account in its possession in accordance with the Escrow Agreement which is attached as </w:t>
      </w:r>
      <w:r>
        <w:rPr>
          <w:sz w:val="22"/>
          <w:u w:val="single"/>
        </w:rPr>
        <w:t>Exhibit B</w:t>
      </w:r>
      <w:r>
        <w:rPr>
          <w:sz w:val="22"/>
        </w:rPr>
        <w:t xml:space="preserve"> until authorized hereunder to deliver the Escrowed Funds or any specified portion thereof to Black Hills or EPMI, as the case may be.</w:t>
      </w:r>
    </w:p>
    <w:p>
      <w:pPr>
        <w:pStyle w:val="BodyTextIndent"/>
        <w:widowControl/>
        <w:ind w:start="0" w:end="0"/>
        <w:rPr>
          <w:sz w:val="22"/>
        </w:rPr>
      </w:pPr>
      <w:r>
        <w:rPr>
          <w:sz w:val="22"/>
        </w:rPr>
      </w:r>
    </w:p>
    <w:p>
      <w:pPr>
        <w:pStyle w:val="BodyTextIndent"/>
        <w:widowControl/>
        <w:ind w:start="0" w:end="0"/>
        <w:rPr/>
      </w:pPr>
      <w:r>
        <w:rPr>
          <w:sz w:val="22"/>
        </w:rPr>
        <w:t xml:space="preserve">b) </w:t>
      </w:r>
      <w:r>
        <w:rPr>
          <w:sz w:val="22"/>
          <w:u w:val="single"/>
        </w:rPr>
        <w:t>Invoicing.</w:t>
      </w:r>
      <w:r>
        <w:rPr>
          <w:sz w:val="22"/>
        </w:rPr>
        <w:t xml:space="preserve"> In accordance with the terms of the Master Agreement, EPMI shall render to Black Hills and the Escrow Agent a monthly invoice setting forth the total amounts due to Black Hills from EPMI for Energy deliveries for the preceding month. </w:t>
      </w:r>
    </w:p>
    <w:p>
      <w:pPr>
        <w:pStyle w:val="BodyTextIndent"/>
        <w:widowControl/>
        <w:ind w:start="0" w:end="0"/>
        <w:rPr>
          <w:sz w:val="22"/>
        </w:rPr>
      </w:pPr>
      <w:r>
        <w:rPr>
          <w:sz w:val="22"/>
        </w:rPr>
      </w:r>
    </w:p>
    <w:p>
      <w:pPr>
        <w:pStyle w:val="BodyTextIndent"/>
        <w:widowControl/>
        <w:ind w:start="0" w:end="0"/>
        <w:rPr/>
      </w:pPr>
      <w:r>
        <w:rPr>
          <w:sz w:val="22"/>
        </w:rPr>
        <w:t xml:space="preserve">c) </w:t>
      </w:r>
      <w:r>
        <w:rPr>
          <w:sz w:val="22"/>
          <w:u w:val="single"/>
        </w:rPr>
        <w:t>Disbursements</w:t>
      </w:r>
      <w:r>
        <w:rPr>
          <w:sz w:val="22"/>
        </w:rPr>
        <w:t xml:space="preserve">. On or before September 1, 2001, Black Hills shall notify EPMI and the Escrow Agent that it wishes to receive the Escrowed Funds (the “Disbursement Request”). Within ten (10) Business Days from the Escrow Agent and EPMI’s receipt of the Disbursement Request, or in any event no later than September 20, 2001, EPMI shall send a written certification to the Escrow Agent that it is in agreement with the Disbursement Request. Thereafter, the Escrow Agent shall disburse to Black Hills the Escrowed Funds on September 20, 2001 (the “Disbursement”). The Disbursement shall be made in accordance with the disbursement instructions provided by Black Hills in its Disbursement Request. </w:t>
      </w:r>
    </w:p>
    <w:p>
      <w:pPr>
        <w:pStyle w:val="BodyTextIndent"/>
        <w:widowControl/>
        <w:ind w:start="0" w:end="0"/>
        <w:rPr>
          <w:sz w:val="22"/>
        </w:rPr>
      </w:pPr>
      <w:r>
        <w:rPr>
          <w:sz w:val="22"/>
        </w:rPr>
      </w:r>
    </w:p>
    <w:p>
      <w:pPr>
        <w:pStyle w:val="BodyTextIndent"/>
        <w:widowControl/>
        <w:ind w:start="0" w:end="0"/>
        <w:rPr/>
      </w:pPr>
      <w:r>
        <w:rPr>
          <w:sz w:val="22"/>
        </w:rPr>
        <w:t xml:space="preserve">d) </w:t>
      </w:r>
      <w:r>
        <w:rPr>
          <w:sz w:val="22"/>
          <w:u w:val="single"/>
        </w:rPr>
        <w:t>Events of Default</w:t>
      </w:r>
      <w:r>
        <w:rPr>
          <w:sz w:val="22"/>
        </w:rPr>
        <w:t>.  Upon the occurrence of a “Seller Failure” as set forth in Section 4.1 or an Event of Default listed in Article Five of the Master Agreement, and should Black Hills not make payments due to EPMI as a result of either such occurrence, EPMI shall be entitled to have Black Hills’s payment obligations satisfied out of the Escrowed Funds.</w:t>
      </w:r>
    </w:p>
    <w:p>
      <w:pPr>
        <w:pStyle w:val="BodyTextIndent"/>
        <w:widowControl/>
        <w:ind w:start="0" w:end="0"/>
        <w:rPr>
          <w:sz w:val="22"/>
        </w:rPr>
      </w:pPr>
      <w:r>
        <w:rPr>
          <w:sz w:val="22"/>
        </w:rPr>
        <w:t xml:space="preserve"> </w:t>
      </w:r>
    </w:p>
    <w:p>
      <w:pPr>
        <w:pStyle w:val="BodyText"/>
        <w:rPr/>
      </w:pPr>
      <w:r>
        <w:rPr/>
        <w:t xml:space="preserve">e) </w:t>
      </w:r>
      <w:r>
        <w:rPr>
          <w:u w:val="single"/>
        </w:rPr>
        <w:t>Disputes</w:t>
      </w:r>
      <w:r>
        <w:rPr/>
        <w:t xml:space="preserve">. Notwithstanding anything to the contrary, the Escrow Agent shall not be authorized to make a Disbursement if prior to September 20, 2001, EPMI sends the Escrow Agent and Black Hills a written notice setting forth an explanation as to why there should not be a disbursement of the Escrowed Funds and any necessary calculations supporting its position (the “Dispute Notice”).  Upon the receipt of Dispute Notice, the parties shall negotiate in good faith to resolve the dispute. Any uncontested part of the Escrowed Funds shall be distributed by the Escrow Agent to Black Hills on September 20, 2001, in accordance with the Disbursement Request. </w:t>
      </w:r>
    </w:p>
    <w:p>
      <w:pPr>
        <w:pStyle w:val="BodyText"/>
        <w:rPr/>
      </w:pPr>
      <w:r>
        <w:rPr/>
      </w:r>
    </w:p>
    <w:p>
      <w:pPr>
        <w:pStyle w:val="Heading2"/>
        <w:numPr>
          <w:ilvl w:val="0"/>
          <w:numId w:val="0"/>
        </w:numPr>
        <w:ind w:hanging="0" w:start="0"/>
        <w:rPr/>
      </w:pPr>
      <w:r>
        <w:rPr>
          <w:sz w:val="22"/>
        </w:rPr>
        <w:t xml:space="preserve">f) </w:t>
      </w:r>
      <w:r>
        <w:rPr>
          <w:sz w:val="22"/>
          <w:u w:val="single"/>
        </w:rPr>
        <w:t>Security Interest</w:t>
      </w:r>
      <w:r>
        <w:rPr>
          <w:sz w:val="22"/>
        </w:rPr>
        <w:t>. To secure its obligations under the Master Agreement, Black Hills hereby grants to EPMI a present and continuing security interest in, and lien on (and right of setoff against), and assignment of, all cash held in the Escrow Account and any and all proceeds resulting therefrom or the liquidation thereof, whether now or hereafter held by the Escrow Agent, on behalf of, or for the benefit of, EPMI, and Black Hills agrees to take such action as EPMI reasonably requires in order to perfect EPMI’s first-priority security interest in, and lien on (and right of setoff against), such collateral and any and all proceeds resulting therefrom or from the liquidation thereof.  Upon or at any time after the occurrence or deemed occurrence and during the continuation of an Event of Default or an Early Termination Date where EPMI is the Non-Defaulting Party, EPMI may do any one or more of the following:  (i) exercise any of the rights and remedies of a secured party with respect to the Escrowed Funds, including any such rights and remedies under law then in effect; (ii) exercise its rights of setoff against any and all property of Black Hills in the possession of EPMI; or (iii) liquidate all Escrowed Funds then held by the Escrow Agent free from any claim or right of any nature whatsoever of Black Hills.  EPMI shall apply the proceeds of the Escrowed Funds realized upon the exercise of any such rights or remedies to reduce Black Hill’s obligations under the Master Agreement (with Black Hills remaining liable for any amounts owing to EPMI after such application), subject to EPMI’s obligation to return any surplus proceeds remaining after such obligations are satisfied in full.</w:t>
      </w:r>
    </w:p>
    <w:p>
      <w:pPr>
        <w:pStyle w:val="BodyText"/>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9"/>
        <w:rPr/>
      </w:pPr>
      <w:r>
        <w:rPr/>
        <w:t>Open Issues</w:t>
      </w:r>
    </w:p>
    <w:p>
      <w:pPr>
        <w:pStyle w:val="Normal"/>
        <w:numPr>
          <w:ilvl w:val="0"/>
          <w:numId w:val="2"/>
        </w:numPr>
        <w:jc w:val="both"/>
        <w:rPr>
          <w:sz w:val="22"/>
        </w:rPr>
      </w:pPr>
      <w:r>
        <w:rPr>
          <w:sz w:val="22"/>
        </w:rPr>
        <w:t>Who pays for the Escrow Agent?</w:t>
      </w:r>
    </w:p>
    <w:p>
      <w:pPr>
        <w:pStyle w:val="Normal"/>
        <w:numPr>
          <w:ilvl w:val="0"/>
          <w:numId w:val="2"/>
        </w:numPr>
        <w:jc w:val="both"/>
        <w:rPr>
          <w:sz w:val="22"/>
        </w:rPr>
      </w:pPr>
      <w:r>
        <w:rPr>
          <w:sz w:val="22"/>
        </w:rPr>
        <w:t xml:space="preserve">Is La Salle Bank acceptable as the Escrow Agent?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kern w:val="2"/>
      <w:sz w:val="24"/>
    </w:rPr>
  </w:style>
  <w:style w:type="paragraph" w:styleId="Heading2">
    <w:name w:val="heading 2"/>
    <w:basedOn w:val="Normal"/>
    <w:next w:val="BodyText"/>
    <w:qFormat/>
    <w:pPr>
      <w:numPr>
        <w:ilvl w:val="1"/>
        <w:numId w:val="1"/>
      </w:numPr>
      <w:tabs>
        <w:tab w:val="clear" w:pos="720"/>
      </w:tabs>
      <w:spacing w:before="0" w:after="240"/>
      <w:jc w:val="both"/>
      <w:outlineLvl w:val="1"/>
    </w:pPr>
    <w:rPr>
      <w:sz w:val="24"/>
    </w:rPr>
  </w:style>
  <w:style w:type="paragraph" w:styleId="Heading3">
    <w:name w:val="heading 3"/>
    <w:basedOn w:val="Normal"/>
    <w:next w:val="BodyText"/>
    <w:qFormat/>
    <w:pPr>
      <w:numPr>
        <w:ilvl w:val="2"/>
        <w:numId w:val="1"/>
      </w:numPr>
      <w:spacing w:before="0" w:after="240"/>
      <w:jc w:val="both"/>
      <w:outlineLvl w:val="2"/>
    </w:pPr>
    <w:rPr>
      <w:sz w:val="24"/>
    </w:rPr>
  </w:style>
  <w:style w:type="paragraph" w:styleId="Heading4">
    <w:name w:val="heading 4"/>
    <w:basedOn w:val="Normal"/>
    <w:next w:val="BodyText"/>
    <w:qFormat/>
    <w:pPr>
      <w:numPr>
        <w:ilvl w:val="3"/>
        <w:numId w:val="1"/>
      </w:numPr>
      <w:spacing w:before="0" w:after="240"/>
      <w:jc w:val="both"/>
      <w:outlineLvl w:val="3"/>
    </w:pPr>
    <w:rPr>
      <w:sz w:val="24"/>
    </w:rPr>
  </w:style>
  <w:style w:type="paragraph" w:styleId="Heading5">
    <w:name w:val="heading 5"/>
    <w:basedOn w:val="Normal"/>
    <w:next w:val="BodyText"/>
    <w:qFormat/>
    <w:pPr>
      <w:numPr>
        <w:ilvl w:val="4"/>
        <w:numId w:val="1"/>
      </w:numPr>
      <w:spacing w:before="0" w:after="240"/>
      <w:jc w:val="both"/>
      <w:outlineLvl w:val="4"/>
    </w:pPr>
    <w:rPr>
      <w:sz w:val="24"/>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tabs>
        <w:tab w:val="clear" w:pos="720"/>
        <w:tab w:val="left" w:pos="4230" w:leader="none"/>
      </w:tabs>
      <w:outlineLvl w:val="7"/>
    </w:pPr>
    <w:rPr>
      <w:sz w:val="22"/>
      <w:u w:val="single"/>
    </w:rPr>
  </w:style>
  <w:style w:type="paragraph" w:styleId="Heading9">
    <w:name w:val="heading 9"/>
    <w:basedOn w:val="Normal"/>
    <w:next w:val="Normal"/>
    <w:qFormat/>
    <w:pPr>
      <w:keepNext w:val="true"/>
      <w:jc w:val="both"/>
      <w:outlineLvl w:val="8"/>
    </w:pPr>
    <w:rPr>
      <w:b/>
      <w:sz w:val="22"/>
      <w:u w:val="single"/>
    </w:rPr>
  </w:style>
  <w:style w:type="character" w:styleId="WW8Num1z0">
    <w:name w:val="WW8Num1z0"/>
    <w:qFormat/>
    <w:rPr/>
  </w:style>
  <w:style w:type="character" w:styleId="WW8Num2z0">
    <w:name w:val="WW8Num2z0"/>
    <w:qFormat/>
    <w:rPr>
      <w:rFonts w:ascii="Times New Roman" w:hAnsi="Times New Roman" w:cs="Times New Roman"/>
      <w:b/>
      <w:i w:val="false"/>
      <w:caps/>
      <w:sz w:val="24"/>
    </w:rPr>
  </w:style>
  <w:style w:type="character" w:styleId="WW8Num2z1">
    <w:name w:val="WW8Num2z1"/>
    <w:qFormat/>
    <w:rPr>
      <w:rFonts w:ascii="Times New Roman" w:hAnsi="Times New Roman" w:cs="Times New Roman"/>
      <w:b w:val="false"/>
      <w:i w:val="false"/>
      <w:sz w:val="24"/>
      <w:u w:val="none"/>
    </w:rPr>
  </w:style>
  <w:style w:type="character" w:styleId="WW8Num2z2">
    <w:name w:val="WW8Num2z2"/>
    <w:qFormat/>
    <w:rPr>
      <w:rFonts w:ascii="Times New Roman" w:hAnsi="Times New Roman" w:cs="Times New Roman"/>
      <w:b w:val="false"/>
      <w:i w:val="false"/>
      <w:sz w:val="24"/>
    </w:rPr>
  </w:style>
  <w:style w:type="character" w:styleId="WW8Num2z5">
    <w:name w:val="WW8Num2z5"/>
    <w:qFormat/>
    <w:rPr>
      <w:rFonts w:ascii="Times New Roman" w:hAnsi="Times New Roman" w:cs="Times New Roman"/>
      <w:b/>
      <w:i w:val="false"/>
      <w:sz w:val="24"/>
      <w:u w:val="none"/>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hanging="0" w:start="720" w:end="0"/>
      <w:jc w:val="both"/>
    </w:pPr>
    <w:rPr>
      <w:sz w:val="24"/>
      <w:lang w:eastAsia="en-U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2000-11-20T21:17:00Z</dcterms:created>
  <dc:creator>sstack</dc:creator>
  <dc:description/>
  <dc:language>en-CA</dc:language>
  <cp:lastModifiedBy>sstack</cp:lastModifiedBy>
  <cp:lastPrinted>2000-11-20T20:23:00Z</cp:lastPrinted>
  <dcterms:modified xsi:type="dcterms:W3CDTF">2000-11-21T00:09:00Z</dcterms:modified>
  <cp:revision>5</cp:revision>
  <dc:subject/>
  <dc:title>In consideration of the transaction described herein, EPMI agrees to pay to Black Hills a monthly Fixed Tolling Premium for the duration of the Term as well as the applicable Variable Tolling Fee</dc:title>
</cp:coreProperties>
</file>