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Working Document – DG OIR Phase I and Phase II – for discussion only</w:t>
      </w:r>
    </w:p>
    <w:p>
      <w:pPr>
        <w:pStyle w:val="Normal"/>
        <w:rPr/>
      </w:pPr>
      <w:r>
        <w:rPr/>
      </w:r>
    </w:p>
    <w:p>
      <w:pPr>
        <w:pStyle w:val="Normal"/>
        <w:rPr/>
      </w:pPr>
      <w:r>
        <w:rPr/>
        <w:t>Mar 30 2000</w:t>
      </w:r>
    </w:p>
    <w:p>
      <w:pPr>
        <w:pStyle w:val="Normal"/>
        <w:rPr/>
      </w:pPr>
      <w:r>
        <w:rPr/>
      </w:r>
    </w:p>
    <w:p>
      <w:pPr>
        <w:pStyle w:val="Normal"/>
        <w:rPr/>
      </w:pPr>
      <w:r>
        <w:rPr>
          <w:u w:val="single"/>
        </w:rPr>
        <w:t>UDC Role</w:t>
      </w:r>
      <w:r>
        <w:rPr/>
        <w:t xml:space="preserve">:  UDC’s role is to facilitate transactions between </w:t>
      </w:r>
      <w:r>
        <w:rPr>
          <w:color w:val="000000"/>
        </w:rPr>
        <w:t>"willing sellers" and "willing buyers" of energy or capacity, including DG, while dispatching  energy or capacity for safety and reliability.  In owning and operating distribution, the UDC must avoid having the incentive or ability to use its operation and control of distribution to unfair advantage over customers or other competitors.  Example: having ability to site or dispatch its own or affiliate’s distributed energy or capacity over that of others</w:t>
      </w:r>
      <w:r>
        <w:rPr/>
        <w:t>.</w:t>
      </w:r>
    </w:p>
    <w:p>
      <w:pPr>
        <w:pStyle w:val="Normal"/>
        <w:rPr/>
      </w:pPr>
      <w:r>
        <w:rPr/>
      </w:r>
    </w:p>
    <w:p>
      <w:pPr>
        <w:pStyle w:val="Normal"/>
        <w:rPr/>
      </w:pPr>
      <w:r>
        <w:rPr/>
      </w:r>
    </w:p>
    <w:p>
      <w:pPr>
        <w:pStyle w:val="Normal"/>
        <w:rPr>
          <w:u w:val="single"/>
        </w:rPr>
      </w:pPr>
      <w:r>
        <w:rPr>
          <w:u w:val="single"/>
        </w:rPr>
        <w:t>Quid for Phase I:</w:t>
      </w:r>
    </w:p>
    <w:p>
      <w:pPr>
        <w:pStyle w:val="Normal"/>
        <w:rPr>
          <w:u w:val="single"/>
        </w:rPr>
      </w:pPr>
      <w:r>
        <w:rPr>
          <w:u w:val="single"/>
        </w:rPr>
      </w:r>
    </w:p>
    <w:p>
      <w:pPr>
        <w:pStyle w:val="Normal"/>
        <w:numPr>
          <w:ilvl w:val="0"/>
          <w:numId w:val="5"/>
        </w:numPr>
        <w:rPr>
          <w:color w:val="FF0000"/>
        </w:rPr>
      </w:pPr>
      <w:r>
        <w:rPr/>
        <w:t xml:space="preserve">UDC should post costs of T&amp;D expansion or ancillary service (voltage support etc.) needs.  </w:t>
      </w:r>
    </w:p>
    <w:p>
      <w:pPr>
        <w:pStyle w:val="Normal"/>
        <w:rPr>
          <w:color w:val="FF0000"/>
        </w:rPr>
      </w:pPr>
      <w:r>
        <w:rPr>
          <w:color w:val="FF0000"/>
        </w:rPr>
      </w:r>
    </w:p>
    <w:p>
      <w:pPr>
        <w:pStyle w:val="Normal"/>
        <w:numPr>
          <w:ilvl w:val="0"/>
          <w:numId w:val="5"/>
        </w:numPr>
        <w:rPr/>
      </w:pPr>
      <w:r>
        <w:rPr/>
        <w:t xml:space="preserve">Due to conflict of interest between dispatch and ownership of DG, there should be a moratorium on ownership of DG by UDCs and affiliates until/unless an independent siting and dispatching entity is established.  </w:t>
        <w:br/>
        <w:br/>
        <w:t xml:space="preserve">Exception:  If UDC needs local generation to defer T&amp;D upgrades or supply ancillary services AND if and only if the UDC </w:t>
        <w:br/>
      </w:r>
    </w:p>
    <w:p>
      <w:pPr>
        <w:pStyle w:val="Normal"/>
        <w:rPr/>
      </w:pPr>
      <w:r>
        <w:rPr/>
      </w:r>
    </w:p>
    <w:p>
      <w:pPr>
        <w:pStyle w:val="Normal"/>
        <w:numPr>
          <w:ilvl w:val="0"/>
          <w:numId w:val="3"/>
        </w:numPr>
        <w:rPr/>
      </w:pPr>
      <w:r>
        <w:rPr/>
        <w:t xml:space="preserve">First goes to its customers and UDCs with tariff-based measures (for DG, interruptible load or DSM), but not special contracts </w:t>
        <w:br/>
        <w:br/>
        <w:t xml:space="preserve">OR </w:t>
      </w:r>
    </w:p>
    <w:p>
      <w:pPr>
        <w:pStyle w:val="Normal"/>
        <w:numPr>
          <w:ilvl w:val="0"/>
          <w:numId w:val="3"/>
        </w:numPr>
        <w:rPr/>
      </w:pPr>
      <w:r>
        <w:rPr/>
        <w:br/>
        <w:t xml:space="preserve">First holds a competitive solicitation for DG needs  </w:t>
        <w:br/>
      </w:r>
    </w:p>
    <w:p>
      <w:pPr>
        <w:pStyle w:val="BodyTextIndent"/>
        <w:rPr/>
      </w:pPr>
      <w:r>
        <w:rPr/>
        <w:t xml:space="preserve">Then the UDC may install an owned or leased portable unit until the solicitation is completed and the winning measures are implemented.   If no parties bid, or if no bids undercut T&amp;D expansion, the UDC must sell its portable unit (or terminate the lease) within one year of installation.  This exception will put DG in the marketplace while allowing UDCs to use DG for temporary, emergency purposes.  </w:t>
      </w:r>
    </w:p>
    <w:p>
      <w:pPr>
        <w:pStyle w:val="Normal"/>
        <w:rPr/>
      </w:pPr>
      <w:r>
        <w:rPr/>
      </w:r>
    </w:p>
    <w:p>
      <w:pPr>
        <w:pStyle w:val="Normal"/>
        <w:numPr>
          <w:ilvl w:val="0"/>
          <w:numId w:val="2"/>
        </w:numPr>
        <w:rPr/>
      </w:pPr>
      <w:r>
        <w:rPr/>
        <w:t xml:space="preserve">UDC DG expenses are to be booked as generation to encourage market solutions and avoid anticompetitiveness problems such as crossusbsidization of DG from distribution savings.   </w:t>
      </w:r>
    </w:p>
    <w:p>
      <w:pPr>
        <w:pStyle w:val="Normal"/>
        <w:rPr/>
      </w:pPr>
      <w:r>
        <w:rPr/>
      </w:r>
    </w:p>
    <w:p>
      <w:pPr>
        <w:pStyle w:val="Normal"/>
        <w:numPr>
          <w:ilvl w:val="0"/>
          <w:numId w:val="2"/>
        </w:numPr>
        <w:rPr>
          <w:color w:val="FF0000"/>
        </w:rPr>
      </w:pPr>
      <w:r>
        <w:rPr/>
        <w:t xml:space="preserve">Incentive payments or tariff-based discounts can be booked as distribution, since those at transmission level are billed to transmission owners by the ISO.  </w:t>
      </w:r>
    </w:p>
    <w:p>
      <w:pPr>
        <w:pStyle w:val="Normal"/>
        <w:rPr>
          <w:color w:val="FF0000"/>
        </w:rPr>
      </w:pPr>
      <w:r>
        <w:rPr>
          <w:color w:val="FF0000"/>
        </w:rPr>
      </w:r>
    </w:p>
    <w:p>
      <w:pPr>
        <w:pStyle w:val="Normal"/>
        <w:numPr>
          <w:ilvl w:val="0"/>
          <w:numId w:val="2"/>
        </w:numPr>
        <w:rPr>
          <w:color w:val="FF0000"/>
        </w:rPr>
      </w:pPr>
      <w:r>
        <w:rPr/>
        <w:t>Support concept of distribution wheeling.  See below re associated distribution unbundling.</w:t>
      </w:r>
    </w:p>
    <w:p>
      <w:pPr>
        <w:pStyle w:val="Normal"/>
        <w:rPr>
          <w:color w:val="FF0000"/>
        </w:rPr>
      </w:pPr>
      <w:r>
        <w:rPr>
          <w:color w:val="FF0000"/>
        </w:rPr>
      </w:r>
    </w:p>
    <w:p>
      <w:pPr>
        <w:pStyle w:val="Normal"/>
        <w:numPr>
          <w:ilvl w:val="0"/>
          <w:numId w:val="2"/>
        </w:numPr>
        <w:rPr>
          <w:color w:val="FF0000"/>
        </w:rPr>
      </w:pPr>
      <w:r>
        <w:rPr/>
        <w:t xml:space="preserve">Support consideration of geographic factors in tariffs, such as geographically differentiated standby charges. </w:t>
      </w:r>
    </w:p>
    <w:p>
      <w:pPr>
        <w:pStyle w:val="Normal"/>
        <w:rPr>
          <w:color w:val="FF0000"/>
        </w:rPr>
      </w:pPr>
      <w:r>
        <w:rPr>
          <w:color w:val="FF0000"/>
        </w:rPr>
      </w:r>
    </w:p>
    <w:p>
      <w:pPr>
        <w:pStyle w:val="Normal"/>
        <w:rPr/>
      </w:pPr>
      <w:r>
        <w:rPr/>
      </w:r>
    </w:p>
    <w:p>
      <w:pPr>
        <w:pStyle w:val="Normal"/>
        <w:rPr/>
      </w:pPr>
      <w:r>
        <w:rPr/>
      </w:r>
    </w:p>
    <w:p>
      <w:pPr>
        <w:pStyle w:val="Heading1"/>
        <w:ind w:hanging="0" w:start="0"/>
        <w:rPr/>
      </w:pPr>
      <w:r>
        <w:rPr/>
        <w:t>Pro Quo for Phase II</w:t>
      </w:r>
    </w:p>
    <w:p>
      <w:pPr>
        <w:pStyle w:val="Normal"/>
        <w:rPr/>
      </w:pPr>
      <w:r>
        <w:rPr/>
      </w:r>
    </w:p>
    <w:p>
      <w:pPr>
        <w:pStyle w:val="Normal"/>
        <w:numPr>
          <w:ilvl w:val="0"/>
          <w:numId w:val="7"/>
        </w:numPr>
        <w:rPr/>
      </w:pPr>
      <w:r>
        <w:rPr/>
        <w:t>No T&amp;D deferral discounts until DG market penetration on a feeder exceeds growth of load since market introduction of DG, ie if load has grown 20% on a feeder since DG entered market, DG must have at least a 20% market share on that feeder.  Reason:  until DG market share exceeds load growth, there is no threat to usage of T&amp;D.</w:t>
      </w:r>
      <w:r>
        <w:rPr>
          <w:color w:val="FF0000"/>
        </w:rPr>
        <w:t>.</w:t>
      </w:r>
    </w:p>
    <w:p>
      <w:pPr>
        <w:pStyle w:val="Normal"/>
        <w:numPr>
          <w:ilvl w:val="0"/>
          <w:numId w:val="0"/>
        </w:numPr>
        <w:ind w:hanging="0" w:start="0"/>
        <w:rPr/>
      </w:pPr>
      <w:r>
        <w:rPr/>
      </w:r>
    </w:p>
    <w:p>
      <w:pPr>
        <w:pStyle w:val="Normal"/>
        <w:numPr>
          <w:ilvl w:val="0"/>
          <w:numId w:val="0"/>
        </w:numPr>
        <w:ind w:firstLine="360" w:start="0" w:end="0"/>
        <w:rPr/>
      </w:pPr>
      <w:r>
        <w:rPr/>
        <w:t xml:space="preserve">AND </w:t>
      </w:r>
    </w:p>
    <w:p>
      <w:pPr>
        <w:pStyle w:val="Normal"/>
        <w:numPr>
          <w:ilvl w:val="0"/>
          <w:numId w:val="0"/>
        </w:numPr>
        <w:ind w:hanging="0" w:start="0"/>
        <w:rPr/>
      </w:pPr>
      <w:r>
        <w:rPr/>
      </w:r>
    </w:p>
    <w:p>
      <w:pPr>
        <w:pStyle w:val="BodyText2"/>
        <w:numPr>
          <w:ilvl w:val="0"/>
          <w:numId w:val="0"/>
        </w:numPr>
        <w:ind w:hanging="0" w:start="360" w:end="0"/>
        <w:rPr>
          <w:color w:val="FF0000"/>
        </w:rPr>
      </w:pPr>
      <w:r>
        <w:rPr/>
        <w:t xml:space="preserve">T&amp;D deferral discounts OK if and only if all T&amp;D deferral revenue losses are borne by shareholders. If ratepayers subsidize any deferral discounts then all net distribution savings retained by the utility must be used to support discounts that incent DG in high marginal cost areas.  Reason:  no ratepayer crossubsidization of anticompetitive deferral. Goal:  do not reduce DG market penetration, just put it where UDC needs it. </w:t>
        <w:br/>
      </w:r>
    </w:p>
    <w:p>
      <w:pPr>
        <w:pStyle w:val="Normal"/>
        <w:numPr>
          <w:ilvl w:val="0"/>
          <w:numId w:val="6"/>
        </w:numPr>
        <w:rPr/>
      </w:pPr>
      <w:r>
        <w:rPr/>
        <w:t xml:space="preserve">No exit fees. </w:t>
        <w:br/>
      </w:r>
    </w:p>
    <w:p>
      <w:pPr>
        <w:pStyle w:val="Normal"/>
        <w:numPr>
          <w:ilvl w:val="0"/>
          <w:numId w:val="4"/>
        </w:numPr>
        <w:rPr/>
      </w:pPr>
      <w:r>
        <w:rPr/>
        <w:t xml:space="preserve">Demand charges apply only to wires capacity used by the end use customer.  Standby charges apply only to wires capacity not used by the customer.  There must be no double charging of demand charges or standby charges.  This applies to distribution wheeling as well. </w:t>
        <w:br/>
      </w:r>
    </w:p>
    <w:p>
      <w:pPr>
        <w:pStyle w:val="Normal"/>
        <w:numPr>
          <w:ilvl w:val="0"/>
          <w:numId w:val="4"/>
        </w:numPr>
        <w:rPr/>
      </w:pPr>
      <w:r>
        <w:rPr/>
        <w:t>Unbundle distribution services to facilitate distribution wheeling.</w:t>
      </w:r>
      <w:r>
        <w:rPr>
          <w:color w:val="FF0000"/>
        </w:rPr>
        <w:t>.</w:t>
      </w:r>
    </w:p>
    <w:p>
      <w:pPr>
        <w:pStyle w:val="Normal"/>
        <w:rPr/>
      </w:pPr>
      <w:r>
        <w:rPr/>
      </w:r>
    </w:p>
    <w:p>
      <w:pPr>
        <w:pStyle w:val="Normal"/>
        <w:numPr>
          <w:ilvl w:val="0"/>
          <w:numId w:val="4"/>
        </w:numPr>
        <w:rPr/>
      </w:pPr>
      <w:r>
        <w:rPr/>
        <w:t>Support firewalls – no cost  shifting between customer classes.</w:t>
      </w:r>
      <w:r>
        <w:rPr>
          <w:color w:val="FF0000"/>
        </w:rPr>
        <w:t>.</w:t>
      </w:r>
    </w:p>
    <w:p>
      <w:pPr>
        <w:pStyle w:val="Normal"/>
        <w:numPr>
          <w:ilvl w:val="0"/>
          <w:numId w:val="0"/>
        </w:numPr>
        <w:ind w:hanging="0" w:start="0"/>
        <w:rPr/>
      </w:pPr>
      <w:r>
        <w:rPr/>
      </w:r>
    </w:p>
    <w:p>
      <w:pPr>
        <w:pStyle w:val="Normal"/>
        <w:numPr>
          <w:ilvl w:val="0"/>
          <w:numId w:val="4"/>
        </w:numPr>
        <w:rPr/>
      </w:pPr>
      <w:r>
        <w:rPr/>
        <w:t xml:space="preserve">Support reasonable standby charges that are cost based, avoid cost shifting (in case firewalls are infeasible), and are not a barrier to DG.  (Devil is in UDCs’ description of their costs!)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color w:val="000000"/>
      </w:rPr>
    </w:lvl>
  </w:abstractNum>
  <w:abstractNum w:abstractNumId="3">
    <w:lvl w:ilvl="0">
      <w:start w:val="1"/>
      <w:numFmt w:val="lowerLetter"/>
      <w:lvlText w:val="%1."/>
      <w:lvlJc w:val="start"/>
      <w:pPr>
        <w:tabs>
          <w:tab w:val="num" w:pos="360"/>
        </w:tabs>
        <w:ind w:start="360" w:hanging="360"/>
      </w:pPr>
    </w:lvl>
  </w:abstractNum>
  <w:abstractNum w:abstractNumId="4">
    <w:lvl w:ilvl="0">
      <w:start w:val="3"/>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2000-03-31T20:57:00Z</dcterms:created>
  <dc:creator>Jay Morse</dc:creator>
  <dc:description/>
  <dc:language>en-CA</dc:language>
  <cp:lastModifiedBy>Jay Morse</cp:lastModifiedBy>
  <dcterms:modified xsi:type="dcterms:W3CDTF">2000-03-31T21:14:00Z</dcterms:modified>
  <cp:revision>4</cp:revision>
  <dc:subject/>
  <dc:title> Working Points – DG OIR Phase I and Phase II – for discussion only</dc:title>
</cp:coreProperties>
</file>