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
        </w:rPr>
      </w:pPr>
      <w:r>
        <w:rPr>
          <w:rFonts w:cs="Times New Roman" w:ascii="Times New Roman" w:hAnsi="Times New Roman"/>
          <w:sz w:val="2"/>
        </w:rPr>
      </w:r>
      <w:r>
        <mc:AlternateContent>
          <mc:Choice Requires="wps">
            <w:drawing>
              <wp:anchor behindDoc="0" distT="0" distB="0" distL="114300" distR="114300" simplePos="0" locked="0" layoutInCell="0" allowOverlap="1" relativeHeight="2">
                <wp:simplePos x="0" y="0"/>
                <wp:positionH relativeFrom="page">
                  <wp:posOffset>638810</wp:posOffset>
                </wp:positionH>
                <wp:positionV relativeFrom="paragraph">
                  <wp:posOffset>153035</wp:posOffset>
                </wp:positionV>
                <wp:extent cx="5943600" cy="167449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1674495"/>
                        </a:xfrm>
                        <a:prstGeom prst="rect"/>
                        <a:solidFill>
                          <a:srgbClr val="FFFFFF">
                            <a:alpha val="0"/>
                          </a:srgbClr>
                        </a:solidFill>
                      </wps:spPr>
                      <wps:txbx>
                        <w:txbxContent>
                          <w:p>
                            <w:pPr>
                              <w:pStyle w:val="Normal"/>
                              <w:rPr>
                                <w:rFonts w:ascii="Times New Roman" w:hAnsi="Times New Roman" w:cs="Times New Roman"/>
                              </w:rPr>
                            </w:pPr>
                            <w:r>
                              <w:rPr>
                                <w:rFonts w:cs="Times New Roman" w:ascii="Times New Roman" w:hAnsi="Times New Roman"/>
                              </w:rPr>
                              <w:drawing>
                                <wp:inline distT="0" distB="0" distL="0" distR="0">
                                  <wp:extent cx="1242695" cy="123444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242695" cy="1234440"/>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txbxContent>
                      </wps:txbx>
                      <wps:bodyPr anchor="t" lIns="0" tIns="0" rIns="0" bIns="0">
                        <a:noAutofit/>
                      </wps:bodyPr>
                    </wps:wsp>
                  </a:graphicData>
                </a:graphic>
              </wp:anchor>
            </w:drawing>
          </mc:Choice>
          <mc:Fallback>
            <w:pict>
              <v:rect fillcolor="#FFFFFF" style="position:absolute;rotation:-0;width:468pt;height:131.85pt;mso-wrap-distance-left:9pt;mso-wrap-distance-right:9pt;mso-wrap-distance-top:0pt;mso-wrap-distance-bottom:0pt;margin-top:12.05pt;mso-position-vertical-relative:text;margin-left:50.3pt;mso-position-horizontal-relative:page">
                <v:fill opacity="0f"/>
                <v:textbox inset="0in,0in,0in,0in">
                  <w:txbxContent>
                    <w:p>
                      <w:pPr>
                        <w:pStyle w:val="Normal"/>
                        <w:rPr>
                          <w:rFonts w:ascii="Times New Roman" w:hAnsi="Times New Roman" w:cs="Times New Roman"/>
                        </w:rPr>
                      </w:pPr>
                      <w:r>
                        <w:rPr>
                          <w:rFonts w:cs="Times New Roman" w:ascii="Times New Roman" w:hAnsi="Times New Roman"/>
                        </w:rPr>
                        <w:drawing>
                          <wp:inline distT="0" distB="0" distL="0" distR="0">
                            <wp:extent cx="1242695" cy="12344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242695" cy="1234440"/>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txbxContent>
                </v:textbox>
                <w10:wrap type="square"/>
              </v:rect>
            </w:pict>
          </mc:Fallback>
        </mc:AlternateContent>
      </w:r>
    </w:p>
    <w:tbl>
      <w:tblPr>
        <w:tblW w:w="11314" w:type="dxa"/>
        <w:jc w:val="start"/>
        <w:tblInd w:w="200" w:type="dxa"/>
        <w:tblLayout w:type="fixed"/>
        <w:tblCellMar>
          <w:top w:w="0" w:type="dxa"/>
          <w:start w:w="108" w:type="dxa"/>
          <w:bottom w:w="0" w:type="dxa"/>
          <w:end w:w="108" w:type="dxa"/>
        </w:tblCellMar>
      </w:tblPr>
      <w:tblGrid>
        <w:gridCol w:w="1008"/>
        <w:gridCol w:w="6045"/>
        <w:gridCol w:w="1296"/>
        <w:gridCol w:w="2965"/>
      </w:tblGrid>
      <w:tr>
        <w:trPr/>
        <w:tc>
          <w:tcPr>
            <w:tcW w:w="1008" w:type="dxa"/>
            <w:tcBorders/>
          </w:tcPr>
          <w:p>
            <w:pPr>
              <w:pStyle w:val="Normal"/>
              <w:ind w:start="-180" w:end="0"/>
              <w:jc w:val="end"/>
              <w:rPr>
                <w:rFonts w:ascii="Times New Roman" w:hAnsi="Times New Roman" w:cs="Times New Roman"/>
              </w:rPr>
            </w:pPr>
            <w:r>
              <w:rPr>
                <w:rFonts w:cs="Times New Roman" w:ascii="Times New Roman" w:hAnsi="Times New Roman"/>
              </w:rPr>
              <w:t>To:</w:t>
            </w:r>
          </w:p>
        </w:tc>
        <w:tc>
          <w:tcPr>
            <w:tcW w:w="6045" w:type="dxa"/>
            <w:tcBorders/>
          </w:tcPr>
          <w:p>
            <w:pPr>
              <w:pStyle w:val="To"/>
              <w:rPr>
                <w:rFonts w:ascii="Times New Roman" w:hAnsi="Times New Roman" w:cs="Times New Roman"/>
                <w:sz w:val="24"/>
                <w:szCs w:val="24"/>
              </w:rPr>
            </w:pPr>
            <w:r>
              <w:rPr>
                <w:rFonts w:cs="Times New Roman" w:ascii="Times New Roman" w:hAnsi="Times New Roman"/>
                <w:sz w:val="24"/>
                <w:szCs w:val="24"/>
              </w:rPr>
              <w:t>Eric Feitler</w:t>
            </w:r>
          </w:p>
        </w:tc>
        <w:tc>
          <w:tcPr>
            <w:tcW w:w="1296" w:type="dxa"/>
            <w:tcBorders/>
          </w:tcPr>
          <w:p>
            <w:pPr>
              <w:pStyle w:val="Normal"/>
              <w:snapToGrid w:val="false"/>
              <w:ind w:start="-180" w:end="0"/>
              <w:rPr>
                <w:rFonts w:ascii="Times New Roman" w:hAnsi="Times New Roman" w:cs="Times New Roman"/>
                <w:sz w:val="24"/>
                <w:szCs w:val="24"/>
              </w:rPr>
            </w:pPr>
            <w:r>
              <w:rPr>
                <w:rFonts w:cs="Times New Roman" w:ascii="Times New Roman" w:hAnsi="Times New Roman"/>
                <w:sz w:val="24"/>
                <w:szCs w:val="24"/>
              </w:rPr>
            </w:r>
          </w:p>
          <w:p>
            <w:pPr>
              <w:pStyle w:val="Normal"/>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300" w:hRule="exact"/>
        </w:trPr>
        <w:tc>
          <w:tcPr>
            <w:tcW w:w="1008" w:type="dxa"/>
            <w:tcBorders/>
          </w:tcPr>
          <w:p>
            <w:pPr>
              <w:pStyle w:val="Normal"/>
              <w:ind w:start="-180" w:end="0"/>
              <w:jc w:val="end"/>
              <w:rPr>
                <w:rFonts w:ascii="Times New Roman" w:hAnsi="Times New Roman" w:cs="Times New Roman"/>
              </w:rPr>
            </w:pPr>
            <w:r>
              <w:rPr>
                <w:rFonts w:cs="Times New Roman" w:ascii="Times New Roman" w:hAnsi="Times New Roman"/>
              </w:rPr>
              <w:t>From:</w:t>
            </w:r>
          </w:p>
        </w:tc>
        <w:tc>
          <w:tcPr>
            <w:tcW w:w="6045" w:type="dxa"/>
            <w:tcBorders/>
          </w:tcPr>
          <w:p>
            <w:pPr>
              <w:pStyle w:val="From"/>
              <w:rPr>
                <w:rFonts w:ascii="Times New Roman" w:hAnsi="Times New Roman" w:cs="Times New Roman"/>
                <w:sz w:val="24"/>
                <w:szCs w:val="24"/>
              </w:rPr>
            </w:pPr>
            <w:r>
              <w:rPr>
                <w:rFonts w:cs="Times New Roman" w:ascii="Times New Roman" w:hAnsi="Times New Roman"/>
                <w:sz w:val="24"/>
                <w:szCs w:val="24"/>
              </w:rPr>
              <w:t>Stacy Dickson Granmayeh</w:t>
            </w:r>
          </w:p>
        </w:tc>
        <w:tc>
          <w:tcPr>
            <w:tcW w:w="1296" w:type="dxa"/>
            <w:tcBorders/>
          </w:tcPr>
          <w:p>
            <w:pPr>
              <w:pStyle w:val="Normal"/>
              <w:ind w:start="-180" w:end="0"/>
              <w:jc w:val="end"/>
              <w:rPr>
                <w:rFonts w:ascii="Times New Roman" w:hAnsi="Times New Roman" w:cs="Times New Roman"/>
              </w:rPr>
            </w:pPr>
            <w:r>
              <w:rPr>
                <w:rFonts w:cs="Times New Roman" w:ascii="Times New Roman" w:hAnsi="Times New Roman"/>
              </w:rPr>
              <w:t>Department:</w:t>
            </w:r>
          </w:p>
        </w:tc>
        <w:tc>
          <w:tcPr>
            <w:tcW w:w="2965" w:type="dxa"/>
            <w:tcBorders/>
          </w:tcPr>
          <w:p>
            <w:pPr>
              <w:pStyle w:val="Department"/>
              <w:rPr>
                <w:rFonts w:ascii="Times New Roman" w:hAnsi="Times New Roman" w:cs="Times New Roman"/>
                <w:sz w:val="24"/>
                <w:szCs w:val="24"/>
              </w:rPr>
            </w:pPr>
            <w:bookmarkStart w:id="0" w:name="From"/>
            <w:bookmarkEnd w:id="0"/>
            <w:r>
              <w:rPr>
                <w:rFonts w:cs="Times New Roman" w:ascii="Times New Roman" w:hAnsi="Times New Roman"/>
                <w:sz w:val="24"/>
                <w:szCs w:val="24"/>
              </w:rPr>
              <w:t>ENA - Legal</w:t>
            </w:r>
          </w:p>
        </w:tc>
      </w:tr>
      <w:tr>
        <w:trPr>
          <w:trHeight w:val="216" w:hRule="exact"/>
        </w:trPr>
        <w:tc>
          <w:tcPr>
            <w:tcW w:w="1008" w:type="dxa"/>
            <w:tcBorders/>
          </w:tcPr>
          <w:p>
            <w:pPr>
              <w:pStyle w:val="Normal"/>
              <w:snapToGrid w:val="false"/>
              <w:ind w:start="-180" w:end="0"/>
              <w:jc w:val="end"/>
              <w:rPr>
                <w:rFonts w:ascii="Times New Roman" w:hAnsi="Times New Roman" w:cs="Times New Roman"/>
                <w:sz w:val="24"/>
                <w:szCs w:val="24"/>
              </w:rPr>
            </w:pPr>
            <w:r>
              <w:rPr>
                <w:rFonts w:cs="Times New Roman" w:ascii="Times New Roman" w:hAnsi="Times New Roman"/>
                <w:sz w:val="24"/>
                <w:szCs w:val="24"/>
              </w:rPr>
            </w:r>
          </w:p>
        </w:tc>
        <w:tc>
          <w:tcPr>
            <w:tcW w:w="6045" w:type="dxa"/>
            <w:tcBorders/>
          </w:tcPr>
          <w:p>
            <w:pPr>
              <w:pStyle w:val="Normal"/>
              <w:snapToGrid w:val="false"/>
              <w:rPr>
                <w:rFonts w:ascii="Times New Roman" w:hAnsi="Times New Roman" w:cs="Times New Roman"/>
              </w:rPr>
            </w:pPr>
            <w:r>
              <w:rPr>
                <w:rFonts w:cs="Times New Roman" w:ascii="Times New Roman" w:hAnsi="Times New Roman"/>
              </w:rPr>
            </w:r>
          </w:p>
        </w:tc>
        <w:tc>
          <w:tcPr>
            <w:tcW w:w="1296"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600" w:hRule="exact"/>
        </w:trPr>
        <w:tc>
          <w:tcPr>
            <w:tcW w:w="1008" w:type="dxa"/>
            <w:tcBorders>
              <w:bottom w:val="single" w:sz="12" w:space="0" w:color="000000"/>
            </w:tcBorders>
          </w:tcPr>
          <w:p>
            <w:pPr>
              <w:pStyle w:val="Normal"/>
              <w:ind w:start="-180" w:end="0"/>
              <w:jc w:val="end"/>
              <w:rPr>
                <w:rFonts w:ascii="Times New Roman" w:hAnsi="Times New Roman" w:cs="Times New Roman"/>
              </w:rPr>
            </w:pPr>
            <w:r>
              <w:rPr>
                <w:rFonts w:cs="Times New Roman" w:ascii="Times New Roman" w:hAnsi="Times New Roman"/>
              </w:rPr>
              <w:t>Subject:</w:t>
            </w:r>
          </w:p>
        </w:tc>
        <w:tc>
          <w:tcPr>
            <w:tcW w:w="6045" w:type="dxa"/>
            <w:tcBorders>
              <w:bottom w:val="single" w:sz="12" w:space="0" w:color="000000"/>
            </w:tcBorders>
          </w:tcPr>
          <w:p>
            <w:pPr>
              <w:pStyle w:val="Subject"/>
              <w:rPr>
                <w:rFonts w:ascii="Times New Roman" w:hAnsi="Times New Roman" w:cs="Times New Roman"/>
                <w:b/>
                <w:bCs/>
                <w:sz w:val="24"/>
                <w:szCs w:val="24"/>
              </w:rPr>
            </w:pPr>
            <w:bookmarkStart w:id="1" w:name="tSubject"/>
            <w:bookmarkEnd w:id="1"/>
            <w:r>
              <w:rPr>
                <w:rFonts w:cs="Times New Roman" w:ascii="Times New Roman" w:hAnsi="Times New Roman"/>
                <w:b/>
                <w:bCs/>
                <w:sz w:val="24"/>
                <w:szCs w:val="24"/>
              </w:rPr>
              <w:t>Procter &amp; Gamble Base Natural Gas Contract (the “Base Contract”)</w:t>
            </w:r>
          </w:p>
        </w:tc>
        <w:tc>
          <w:tcPr>
            <w:tcW w:w="1296" w:type="dxa"/>
            <w:tcBorders>
              <w:bottom w:val="single" w:sz="12" w:space="0" w:color="000000"/>
            </w:tcBorders>
          </w:tcPr>
          <w:p>
            <w:pPr>
              <w:pStyle w:val="Normal"/>
              <w:ind w:start="-180" w:end="0"/>
              <w:jc w:val="end"/>
              <w:rPr>
                <w:rFonts w:ascii="Times New Roman" w:hAnsi="Times New Roman" w:cs="Times New Roman"/>
              </w:rPr>
            </w:pPr>
            <w:r>
              <w:rPr>
                <w:rFonts w:cs="Times New Roman" w:ascii="Times New Roman" w:hAnsi="Times New Roman"/>
              </w:rPr>
              <w:t>Date:</w:t>
            </w:r>
          </w:p>
        </w:tc>
        <w:tc>
          <w:tcPr>
            <w:tcW w:w="2965" w:type="dxa"/>
            <w:tcBorders>
              <w:bottom w:val="single" w:sz="12" w:space="0" w:color="000000"/>
            </w:tcBorders>
          </w:tcPr>
          <w:p>
            <w:pPr>
              <w:pStyle w:val="Date"/>
              <w:rPr>
                <w:rFonts w:ascii="Times New Roman" w:hAnsi="Times New Roman" w:cs="Times New Roman"/>
                <w:sz w:val="24"/>
                <w:szCs w:val="24"/>
              </w:rPr>
            </w:pPr>
            <w:r>
              <w:rPr>
                <w:rFonts w:cs="Times New Roman" w:ascii="Times New Roman" w:hAnsi="Times New Roman"/>
                <w:sz w:val="24"/>
                <w:szCs w:val="24"/>
              </w:rPr>
              <w:t>June 8, 2001</w:t>
            </w:r>
          </w:p>
        </w:tc>
      </w:tr>
    </w:tbl>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bookmarkStart w:id="2" w:name="StartOfMemo"/>
      <w:bookmarkStart w:id="3" w:name="StartOfMemo"/>
      <w:bookmarkEnd w:id="3"/>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Per your request, I have reviewed the above-referenced agreement and have the following comments and concerns:</w:t>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The term “Contract Period” at the top of the second page should be changed to “Period of Delivery” because it refers to the delivery term of a particular transaction not the term of this Base Contract.</w:t>
      </w:r>
    </w:p>
    <w:p>
      <w:pPr>
        <w:pStyle w:val="CopyList"/>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The term “Force Majeure” includes excuse for performance under this Base Contract (i.e. delivery and receipt of physical gas) when there is an inability to transact future trading on the NYMEX for any reason.  I do not think that is an appropriate excuse for physical performance.</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In the definition of “Interruptible Basis” there is a requirement that a party provide at least 48 hours notice prior to interruption.  This is not Enron’s definition of interruptible.</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The definition of “NYMEX Related Transaction” does not make sense.</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The second and third sentences of Section 3 TRANSACTIONS Agreement conflict on when the parties are bound to a transaction.</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ENA prefers to be the only party issuing a confirmation which is inconsistent with the first sentence of Section 3 TRANSACTIONS confirmations.</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The remedies for nonperformance under Section 4 Contract Quantity are available only after the non-performing party has been given two days advance written notice by the other party that it should perform.  This does not seem workable to me.  Additionally, there must be a replacement purchase or replacement sale in order for the performing party to recover damages.  This is contrary to ENA’s use of Gas Daily to calculate damages for non-performance.</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Please review the Buyout provision of Section 4 Contract Quantity.  Note that in the event Procter &amp; Gamble is unable to take delivery of the Daily Quantity, they will instruct us to close out their NYMEX position.  If this results in a gain, we will pay them the amount of the gain.</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I do not understand the purpose of the first sentence of Section 5 Delivery of Gas—Pressure, Quality and Measurement.</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Please note Section 11 Regulatory Authority contains a free walk to Procter &amp; Gamble in the event of a regulatory change.</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In Section 15 Employment Law Compliance, ENA warrants that we will include on each invoice the following certification:  “Materials or work covered by this invoice were produced in conformity with the Fair Labor Standards Act as amended.”  Because ENA does not produce the gas, we cannot make this certification.  Additionally, I am not comfortable with ENA giving the indemnity at the end of Section 15.</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ENA cannot indemnify Procter &amp; Gamble for environmental liability under Section 16.</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Note Section 17 Consistent Pricing Basis Meet or Release allows Procter &amp; Gamble a free walk in the event that ENA does not meet a lower price offered by a third party.  ENA may not recover certain costs associated with the termination of the contract.</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A limitation of liability provision needs to be added to the Base Contract.</w:t>
      </w:r>
    </w:p>
    <w:p>
      <w:pPr>
        <w:pStyle w:val="CopyList"/>
        <w:tabs>
          <w:tab w:val="clear" w:pos="504"/>
        </w:tabs>
        <w:spacing w:before="0" w:after="0"/>
        <w:ind w:hanging="0" w:start="0"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start="1224" w:end="0"/>
        <w:jc w:val="both"/>
        <w:rPr>
          <w:rFonts w:ascii="Times New Roman" w:hAnsi="Times New Roman" w:cs="Times New Roman"/>
          <w:sz w:val="24"/>
          <w:szCs w:val="24"/>
        </w:rPr>
      </w:pPr>
      <w:r>
        <w:rPr>
          <w:rFonts w:cs="Times New Roman" w:ascii="Times New Roman" w:hAnsi="Times New Roman"/>
          <w:sz w:val="24"/>
          <w:szCs w:val="24"/>
        </w:rPr>
        <w:t>Please call me at your convenience so that we may discuss my comments.</w:t>
      </w:r>
    </w:p>
    <w:sectPr>
      <w:headerReference w:type="default" r:id="rId4"/>
      <w:headerReference w:type="first" r:id="rId5"/>
      <w:footerReference w:type="default" r:id="rId6"/>
      <w:footerReference w:type="first" r:id="rId7"/>
      <w:type w:val="nextPage"/>
      <w:pgSz w:w="12240" w:h="15840"/>
      <w:pgMar w:left="1440" w:right="1440" w:gutter="0" w:header="72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/mnt/main-storage/datasets/enron-docs/doc/Eric_Feitler_Procter___Gamble_Contract.doc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Fonts w:ascii="Times New Roman" w:hAnsi="Times New Roman" w:cs="Times New Roman"/>
      </w:rPr>
    </w:pPr>
    <w:r>
      <w:rPr>
        <w:rFonts w:cs="Times New Roman"/>
      </w:rPr>
    </w:r>
  </w:p>
  <w:p>
    <w:pPr>
      <w:pStyle w:val="Header"/>
      <w:rPr>
        <w:rStyle w:val="PageNumber"/>
        <w:rFonts w:ascii="Times New Roman" w:hAnsi="Times New Roman" w:cs="Times New Roman"/>
      </w:rPr>
    </w:pPr>
    <w:r>
      <w:rPr/>
    </w:r>
  </w:p>
  <w:p>
    <w:pPr>
      <w:pStyle w:val="Header"/>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658495"/>
              <wp:effectExtent l="0" t="0" r="0" b="0"/>
              <wp:wrapSquare wrapText="bothSides"/>
              <wp:docPr id="4"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autoSpaceDE w:val="false"/>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sz w:val="24"/>
    </w:rPr>
  </w:style>
  <w:style w:type="paragraph" w:styleId="Heading3">
    <w:name w:val="heading 3"/>
    <w:basedOn w:val="Normal"/>
    <w:next w:val="NormalIndent"/>
    <w:qFormat/>
    <w:pPr>
      <w:numPr>
        <w:ilvl w:val="2"/>
        <w:numId w:val="1"/>
      </w:numPr>
      <w:ind w:hanging="0" w:start="360" w:end="0"/>
      <w:outlineLvl w:val="2"/>
    </w:pPr>
    <w:rPr>
      <w:rFonts w:ascii="CG Times (WN)" w:hAnsi="CG Times (WN)" w:cs="Times New Roman"/>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Cs w:val="20"/>
    </w:rPr>
  </w:style>
  <w:style w:type="paragraph" w:styleId="Date">
    <w:name w:val="Date"/>
    <w:basedOn w:val="Normal"/>
    <w:qFormat/>
    <w:pPr>
      <w:tabs>
        <w:tab w:val="clear" w:pos="540"/>
      </w:tabs>
    </w:pPr>
    <w:rPr>
      <w:szCs w:val="20"/>
    </w:rPr>
  </w:style>
  <w:style w:type="paragraph" w:styleId="To">
    <w:name w:val="To"/>
    <w:basedOn w:val="Normal"/>
    <w:qFormat/>
    <w:pPr>
      <w:tabs>
        <w:tab w:val="clear" w:pos="540"/>
      </w:tabs>
    </w:pPr>
    <w:rPr>
      <w:szCs w:val="20"/>
    </w:rPr>
  </w:style>
  <w:style w:type="paragraph" w:styleId="From">
    <w:name w:val="From"/>
    <w:basedOn w:val="Normal"/>
    <w:qFormat/>
    <w:pPr>
      <w:tabs>
        <w:tab w:val="clear" w:pos="540"/>
      </w:tabs>
    </w:pPr>
    <w:rPr>
      <w:szCs w:val="20"/>
    </w:rPr>
  </w:style>
  <w:style w:type="paragraph" w:styleId="CopyList">
    <w:name w:val="CopyList"/>
    <w:basedOn w:val="Normal"/>
    <w:qFormat/>
    <w:pPr>
      <w:tabs>
        <w:tab w:val="clear" w:pos="540"/>
        <w:tab w:val="left" w:pos="504" w:leader="none"/>
      </w:tabs>
      <w:spacing w:before="360" w:after="0"/>
      <w:ind w:hanging="504" w:start="576" w:end="0"/>
    </w:pPr>
    <w:rPr>
      <w:szCs w:val="20"/>
    </w:rPr>
  </w:style>
  <w:style w:type="paragraph" w:styleId="Body">
    <w:name w:val="Body"/>
    <w:basedOn w:val="Normal"/>
    <w:qFormat/>
    <w:pPr>
      <w:tabs>
        <w:tab w:val="clear" w:pos="540"/>
      </w:tabs>
      <w:ind w:hanging="0" w:start="72" w:end="0"/>
    </w:pPr>
    <w:rPr>
      <w:color w:val="000080"/>
      <w:szCs w:val="20"/>
    </w:rPr>
  </w:style>
  <w:style w:type="paragraph" w:styleId="Department">
    <w:name w:val="Department"/>
    <w:basedOn w:val="Normal"/>
    <w:qFormat/>
    <w:pPr>
      <w:tabs>
        <w:tab w:val="clear" w:pos="540"/>
      </w:tabs>
    </w:pPr>
    <w:rPr>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2001-06-08T19:39:00Z</dcterms:created>
  <dc:creator>ECT</dc:creator>
  <dc:description/>
  <dc:language>en-CA</dc:language>
  <cp:lastModifiedBy>Theresa Zucha</cp:lastModifiedBy>
  <cp:lastPrinted>2001-06-08T17:08:00Z</cp:lastPrinted>
  <dcterms:modified xsi:type="dcterms:W3CDTF">2001-06-08T19:39:00Z</dcterms:modified>
  <cp:revision>2</cp:revision>
  <dc:subject>The Subject of the Memo</dc:subject>
  <dc:title> 	</dc:title>
</cp:coreProperties>
</file>