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cs="Courier New"/>
          <w:sz w:val="36"/>
        </w:rPr>
      </w:pPr>
      <w:r>
        <w:rPr>
          <w:rFonts w:cs="Courier New"/>
          <w:sz w:val="36"/>
        </w:rPr>
        <w:t>Eric Boyt</w:t>
      </w:r>
    </w:p>
    <w:p>
      <w:pPr>
        <w:pStyle w:val="Normal"/>
        <w:widowControl/>
        <w:rPr>
          <w:rFonts w:ascii="Times New Roman" w:hAnsi="Times New Roman" w:cs="Times New Roman"/>
          <w:b/>
          <w:bCs/>
        </w:rPr>
      </w:pPr>
      <w:r>
        <w:rPr>
          <w:rFonts w:cs="Times New Roman" w:ascii="Times New Roman" w:hAnsi="Times New Roman"/>
          <w:b/>
          <w:bCs/>
        </w:rPr>
        <w:t>1606 Crescent Oak Dr</w:t>
        <w:tab/>
        <w:tab/>
        <w:tab/>
        <w:tab/>
        <w:tab/>
        <w:tab/>
        <w:tab/>
        <w:tab/>
        <w:t>(W)713-345-7754</w:t>
      </w:r>
    </w:p>
    <w:p>
      <w:pPr>
        <w:pStyle w:val="Normal"/>
        <w:widowControl/>
        <w:rPr>
          <w:rFonts w:ascii="Times New Roman" w:hAnsi="Times New Roman" w:cs="Times New Roman"/>
        </w:rPr>
      </w:pPr>
      <w:r>
        <w:rPr>
          <w:rFonts w:cs="Times New Roman" w:ascii="Times New Roman" w:hAnsi="Times New Roman"/>
          <w:b/>
          <w:bCs/>
        </w:rPr>
        <w:t>Missouri City, TX 77459</w:t>
        <w:tab/>
        <w:tab/>
        <w:tab/>
        <w:tab/>
        <w:tab/>
        <w:tab/>
        <w:tab/>
        <w:tab/>
        <w:t>(H) 281-438-1603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0" distT="0" distB="0" distL="114935" distR="114935" simplePos="0" locked="0" layoutInCell="1" allowOverlap="1" relativeHeight="3">
                <wp:simplePos x="0" y="0"/>
                <wp:positionH relativeFrom="column">
                  <wp:posOffset>13335</wp:posOffset>
                </wp:positionH>
                <wp:positionV relativeFrom="paragraph">
                  <wp:posOffset>140970</wp:posOffset>
                </wp:positionV>
                <wp:extent cx="5852160" cy="0"/>
                <wp:effectExtent l="0" t="28575" r="0" b="28575"/>
                <wp:wrapNone/>
                <wp:docPr id="1" name=""/>
                <a:graphic xmlns:a="http://schemas.openxmlformats.org/drawingml/2006/main">
                  <a:graphicData uri="http://schemas.microsoft.com/office/word/2010/wordprocessingShape">
                    <wps:wsp>
                      <wps:cNvSpPr/>
                      <wps:spPr>
                        <a:xfrm>
                          <a:off x="0" y="0"/>
                          <a:ext cx="585216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05pt,11.1pt" to="461.8pt,11.1pt" stroked="t" o:allowincell="f" style="position:absolute">
                <v:stroke color="black" weight="57240" joinstyle="miter" endcap="flat"/>
                <v:fill o:detectmouseclick="t" on="false"/>
                <w10:wrap type="none"/>
              </v:line>
            </w:pict>
          </mc:Fallback>
        </mc:AlternateConten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160" w:start="2160" w:end="0"/>
        <w:rPr/>
      </w:pPr>
      <w:r>
        <w:rPr>
          <w:rFonts w:cs="Times New Roman" w:ascii="Times New Roman" w:hAnsi="Times New Roman"/>
          <w:b/>
          <w:bCs/>
          <w:smallCaps/>
          <w:sz w:val="22"/>
          <w:szCs w:val="22"/>
        </w:rPr>
        <w:t>Education:</w:t>
      </w:r>
      <w:r>
        <w:rPr>
          <w:rFonts w:cs="Times New Roman" w:ascii="Times New Roman" w:hAnsi="Times New Roman"/>
          <w:sz w:val="22"/>
          <w:szCs w:val="22"/>
        </w:rPr>
        <w:tab/>
        <w:tab/>
        <w:tab/>
        <w:t>B.A. Southwestern University, May 1992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start="2160" w:end="0"/>
        <w:rPr>
          <w:rFonts w:ascii="Times New Roman" w:hAnsi="Times New Roman" w:cs="Times New Roman"/>
          <w:sz w:val="22"/>
          <w:szCs w:val="22"/>
        </w:rPr>
      </w:pPr>
      <w:r>
        <w:rPr>
          <w:rFonts w:cs="Times New Roman" w:ascii="Times New Roman" w:hAnsi="Times New Roman"/>
          <w:sz w:val="22"/>
          <w:szCs w:val="22"/>
        </w:rPr>
        <w:t>Major: Accounting - Cum Laude - GPA:  3.7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160" w:start="2160" w:end="0"/>
        <w:rPr/>
      </w:pPr>
      <w:r>
        <w:rPr>
          <w:rFonts w:cs="Times New Roman" w:ascii="Times New Roman" w:hAnsi="Times New Roman"/>
          <w:b/>
          <w:bCs/>
          <w:smallCaps/>
          <w:sz w:val="22"/>
          <w:szCs w:val="22"/>
        </w:rPr>
        <w:t>Certification</w:t>
      </w:r>
      <w:r>
        <w:rPr>
          <w:rFonts w:cs="Times New Roman" w:ascii="Times New Roman" w:hAnsi="Times New Roman"/>
          <w:b/>
          <w:bCs/>
          <w:sz w:val="22"/>
          <w:szCs w:val="22"/>
        </w:rPr>
        <w:t>:</w:t>
      </w:r>
      <w:r>
        <w:rPr>
          <w:rFonts w:cs="Times New Roman" w:ascii="Times New Roman" w:hAnsi="Times New Roman"/>
          <w:sz w:val="22"/>
          <w:szCs w:val="22"/>
        </w:rPr>
        <w:tab/>
        <w:tab/>
        <w:t xml:space="preserve">Certified Public Accountant, Texas, May 1993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b/>
          <w:bCs/>
          <w:smallCaps/>
          <w:sz w:val="22"/>
          <w:szCs w:val="22"/>
        </w:rPr>
        <w:t>Professional Experience: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b/>
          <w:bCs/>
          <w:sz w:val="22"/>
          <w:szCs w:val="22"/>
        </w:rPr>
      </w:pPr>
      <w:r>
        <w:rPr>
          <w:rFonts w:cs="Times New Roman" w:ascii="Times New Roman" w:hAnsi="Times New Roman"/>
          <w:b/>
          <w:bCs/>
          <w:sz w:val="22"/>
          <w:szCs w:val="22"/>
        </w:rPr>
        <w:t>Enron Corp – Houston, TX</w:t>
        <w:tab/>
        <w:tab/>
        <w:tab/>
        <w:tab/>
        <w:tab/>
        <w:tab/>
        <w:tab/>
        <w:t>March 98-Present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b/>
          <w:bCs/>
          <w:sz w:val="22"/>
          <w:szCs w:val="22"/>
        </w:rPr>
      </w:pPr>
      <w:r>
        <w:rPr>
          <w:rFonts w:cs="Times New Roman" w:ascii="Times New Roman" w:hAnsi="Times New Roman"/>
          <w:b/>
          <w:bCs/>
          <w:sz w:val="22"/>
          <w:szCs w:val="22"/>
        </w:rPr>
      </w:r>
    </w:p>
    <w:p>
      <w:pPr>
        <w:pStyle w:val="Heading2"/>
        <w:ind w:hanging="0" w:start="0"/>
        <w:rPr/>
      </w:pPr>
      <w:r>
        <w:rPr/>
        <w:t>Manager – Gas Structuring</w:t>
      </w:r>
      <w:r>
        <w:rPr>
          <w:u w:val="none"/>
        </w:rPr>
        <w:tab/>
        <w:tab/>
        <w:tab/>
        <w:tab/>
        <w:tab/>
        <w:tab/>
        <w:tab/>
        <w:t>Jan 01- Present</w:t>
      </w:r>
    </w:p>
    <w:p>
      <w:pPr>
        <w:pStyle w:val="Normal"/>
        <w:widowControl/>
        <w:numPr>
          <w:ilvl w:val="0"/>
          <w:numId w:val="5"/>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 xml:space="preserve">Responsibilities primarily include working with originators and traders in structuring the commodity aspect of longer-term transactions.  </w:t>
      </w:r>
    </w:p>
    <w:p>
      <w:pPr>
        <w:pStyle w:val="Normal"/>
        <w:widowControl/>
        <w:numPr>
          <w:ilvl w:val="0"/>
          <w:numId w:val="5"/>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Experience pricing options (basic puts, calls, collars) as well as more complex compound options and contingent options.</w:t>
      </w:r>
    </w:p>
    <w:p>
      <w:pPr>
        <w:pStyle w:val="Normal"/>
        <w:widowControl/>
        <w:numPr>
          <w:ilvl w:val="0"/>
          <w:numId w:val="5"/>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Currently assisting in the implementation of the Wellhead book and several volumetric production payments, which provides exposure to the physical aspect of the gas industry.</w:t>
      </w:r>
    </w:p>
    <w:p>
      <w:pPr>
        <w:pStyle w:val="Normal"/>
        <w:widowControl/>
        <w:numPr>
          <w:ilvl w:val="0"/>
          <w:numId w:val="5"/>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 xml:space="preserve">Working with the ENA Upstream Storage group in valuing several financing and monetization opportunities as well as assisting the ENA Compressor Services group in structuring the gas component of their transactions. </w:t>
      </w:r>
    </w:p>
    <w:p>
      <w:pPr>
        <w:pStyle w:val="Normal"/>
        <w:widowControl/>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Normal"/>
        <w:widowControl/>
        <w:tabs>
          <w:tab w:val="clear" w:pos="720"/>
          <w:tab w:val="left" w:pos="-1080" w:leader="none"/>
          <w:tab w:val="left" w:pos="-720" w:leader="none"/>
          <w:tab w:val="left" w:pos="0" w:leader="none"/>
          <w:tab w:val="left" w:pos="5760" w:leader="none"/>
        </w:tabs>
        <w:rPr/>
      </w:pPr>
      <w:r>
        <w:rPr>
          <w:rFonts w:cs="Times New Roman" w:ascii="Times New Roman" w:hAnsi="Times New Roman"/>
          <w:sz w:val="22"/>
          <w:szCs w:val="22"/>
          <w:u w:val="single"/>
        </w:rPr>
        <w:t>Manager – ENA Commercial Transaction &amp; Origination</w:t>
      </w:r>
      <w:r>
        <w:rPr>
          <w:rFonts w:cs="Times New Roman" w:ascii="Times New Roman" w:hAnsi="Times New Roman"/>
          <w:sz w:val="22"/>
          <w:szCs w:val="22"/>
        </w:rPr>
        <w:tab/>
        <w:tab/>
        <w:tab/>
        <w:t>April 00- Dec 00</w:t>
      </w:r>
    </w:p>
    <w:p>
      <w:pPr>
        <w:pStyle w:val="Normal"/>
        <w:widowControl/>
        <w:numPr>
          <w:ilvl w:val="0"/>
          <w:numId w:val="6"/>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Primarily responsible for monitoring and valuing the Citrus-PanNat(Duke) contract, as well as working with the legal team in developing an arbitration strategy.</w:t>
      </w:r>
    </w:p>
    <w:p>
      <w:pPr>
        <w:pStyle w:val="Normal"/>
        <w:widowControl/>
        <w:numPr>
          <w:ilvl w:val="0"/>
          <w:numId w:val="6"/>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Assisted in finalizing the VNG Asset Management Agreements</w:t>
      </w:r>
    </w:p>
    <w:p>
      <w:pPr>
        <w:pStyle w:val="Normal"/>
        <w:widowControl/>
        <w:numPr>
          <w:ilvl w:val="0"/>
          <w:numId w:val="6"/>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Assisted in the completion of the Austin Energy project (4 LM 6000 turbines)</w:t>
      </w:r>
    </w:p>
    <w:p>
      <w:pPr>
        <w:pStyle w:val="Normal"/>
        <w:widowControl/>
        <w:numPr>
          <w:ilvl w:val="0"/>
          <w:numId w:val="6"/>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Worked on several gas fuel supply proposals (Trigen, City of Tallahassee, TECO Peoples Gas)</w:t>
      </w:r>
    </w:p>
    <w:p>
      <w:pPr>
        <w:pStyle w:val="Normal"/>
        <w:widowControl/>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Normal"/>
        <w:widowControl/>
        <w:tabs>
          <w:tab w:val="clear" w:pos="720"/>
          <w:tab w:val="left" w:pos="-1080" w:leader="none"/>
          <w:tab w:val="left" w:pos="-720" w:leader="none"/>
          <w:tab w:val="left" w:pos="0" w:leader="none"/>
          <w:tab w:val="left" w:pos="5760" w:leader="none"/>
        </w:tabs>
        <w:rPr/>
      </w:pPr>
      <w:r>
        <w:rPr>
          <w:rFonts w:cs="Times New Roman" w:ascii="Times New Roman" w:hAnsi="Times New Roman"/>
          <w:sz w:val="22"/>
          <w:szCs w:val="22"/>
          <w:u w:val="single"/>
        </w:rPr>
        <w:t>Manager – Enron International, Transaction Support</w:t>
      </w:r>
      <w:r>
        <w:rPr>
          <w:rFonts w:cs="Times New Roman" w:ascii="Times New Roman" w:hAnsi="Times New Roman"/>
          <w:sz w:val="22"/>
          <w:szCs w:val="22"/>
        </w:rPr>
        <w:tab/>
        <w:tab/>
        <w:tab/>
        <w:t>March 98 – April 00</w:t>
      </w:r>
    </w:p>
    <w:p>
      <w:pPr>
        <w:pStyle w:val="Normal"/>
        <w:widowControl/>
        <w:numPr>
          <w:ilvl w:val="0"/>
          <w:numId w:val="3"/>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eastAsia="MS Mincho;ＭＳ 明朝" w:cs="Times New Roman" w:ascii="Times New Roman" w:hAnsi="Times New Roman"/>
          <w:sz w:val="22"/>
        </w:rPr>
        <w:t>Provided structuring, modeling and due diligence support for all contemplated transactions in the Global Investment (M&amp;A/Privatizations) and Origination groups.</w:t>
      </w:r>
    </w:p>
    <w:p>
      <w:pPr>
        <w:pStyle w:val="Normal"/>
        <w:widowControl/>
        <w:numPr>
          <w:ilvl w:val="0"/>
          <w:numId w:val="3"/>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eastAsia="MS Mincho;ＭＳ 明朝" w:cs="Times New Roman" w:ascii="Times New Roman" w:hAnsi="Times New Roman"/>
          <w:sz w:val="22"/>
        </w:rPr>
        <w:t>The industries associated with the deals were varied, including electric generation and distribution, gas distribution, water distribution, pulp and paper, LNG and exploration/production.</w:t>
      </w:r>
    </w:p>
    <w:p>
      <w:pPr>
        <w:pStyle w:val="Normal"/>
        <w:widowControl/>
        <w:numPr>
          <w:ilvl w:val="0"/>
          <w:numId w:val="3"/>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Executed accounting due diligence and review of the economic model for accretion/dilution analysis on several acquisitions or partnership developments including:</w:t>
      </w:r>
    </w:p>
    <w:p>
      <w:pPr>
        <w:pStyle w:val="Normal"/>
        <w:widowControl/>
        <w:numPr>
          <w:ilvl w:val="0"/>
          <w:numId w:val="4"/>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SK-Enron Joint Venture (Korea) – LDC partnership with Enron injecting $225 million in capital</w:t>
      </w:r>
    </w:p>
    <w:p>
      <w:pPr>
        <w:pStyle w:val="Normal"/>
        <w:widowControl/>
        <w:numPr>
          <w:ilvl w:val="0"/>
          <w:numId w:val="4"/>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Nigeria Power Barges –  monetization of a power PPA</w:t>
      </w:r>
    </w:p>
    <w:p>
      <w:pPr>
        <w:pStyle w:val="Normal"/>
        <w:widowControl/>
        <w:numPr>
          <w:ilvl w:val="0"/>
          <w:numId w:val="4"/>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Power Plant acquisition proposal in India (Essar Steel)</w:t>
      </w:r>
    </w:p>
    <w:p>
      <w:pPr>
        <w:pStyle w:val="Normal"/>
        <w:widowControl/>
        <w:numPr>
          <w:ilvl w:val="0"/>
          <w:numId w:val="4"/>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 xml:space="preserve">Electric and Water distribution privatization in Morocco, Africa </w:t>
      </w:r>
    </w:p>
    <w:p>
      <w:pPr>
        <w:pStyle w:val="Normal"/>
        <w:widowControl/>
        <w:numPr>
          <w:ilvl w:val="0"/>
          <w:numId w:val="4"/>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cs="Times New Roman" w:ascii="Times New Roman" w:hAnsi="Times New Roman"/>
          <w:sz w:val="22"/>
          <w:szCs w:val="22"/>
        </w:rPr>
        <w:t>Potential inventory financing with Asia Pulp &amp; Paper</w:t>
      </w:r>
    </w:p>
    <w:p>
      <w:pPr>
        <w:pStyle w:val="Normal"/>
        <w:widowControl/>
        <w:numPr>
          <w:ilvl w:val="0"/>
          <w:numId w:val="3"/>
        </w:numPr>
        <w:tabs>
          <w:tab w:val="clear" w:pos="720"/>
          <w:tab w:val="left" w:pos="-1080" w:leader="none"/>
          <w:tab w:val="left" w:pos="-720" w:leader="none"/>
          <w:tab w:val="left" w:pos="0" w:leader="none"/>
          <w:tab w:val="left" w:pos="5760" w:leader="none"/>
        </w:tabs>
        <w:rPr>
          <w:rFonts w:ascii="Times New Roman" w:hAnsi="Times New Roman" w:cs="Times New Roman"/>
          <w:b/>
          <w:bCs/>
          <w:sz w:val="22"/>
          <w:szCs w:val="22"/>
          <w:u w:val="single"/>
        </w:rPr>
      </w:pPr>
      <w:r>
        <w:rPr>
          <w:rFonts w:eastAsia="MS Mincho;ＭＳ 明朝" w:cs="Times New Roman" w:ascii="Times New Roman" w:hAnsi="Times New Roman"/>
          <w:sz w:val="22"/>
        </w:rPr>
        <w:t>During last six months, focused more heavily on the structuring, valuation and risk mitigation aspects of the deal process, working closely with not only the commercial teams, but with the other functional areas (structured finance, legal, tax, asset management etc.) as well as risk analytics (RAC).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b/>
          <w:bCs/>
          <w:sz w:val="22"/>
          <w:szCs w:val="22"/>
          <w:u w:val="single"/>
        </w:rPr>
      </w:pPr>
      <w:r>
        <w:rPr>
          <w:rFonts w:cs="Times New Roman" w:ascii="Times New Roman" w:hAnsi="Times New Roman"/>
          <w:b/>
          <w:bCs/>
          <w:sz w:val="22"/>
          <w:szCs w:val="22"/>
          <w:u w:val="single"/>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b/>
          <w:bCs/>
          <w:sz w:val="22"/>
          <w:szCs w:val="22"/>
        </w:rPr>
        <w:t>UMC Petroleum Corporation - Manager</w:t>
      </w:r>
      <w:r>
        <w:rPr>
          <w:rFonts w:cs="Times New Roman" w:ascii="Times New Roman" w:hAnsi="Times New Roman"/>
          <w:sz w:val="22"/>
          <w:szCs w:val="22"/>
        </w:rPr>
        <w:tab/>
        <w:tab/>
        <w:tab/>
        <w:tab/>
      </w:r>
      <w:r>
        <w:rPr>
          <w:rFonts w:cs="Times New Roman" w:ascii="Times New Roman" w:hAnsi="Times New Roman"/>
          <w:b/>
          <w:bCs/>
          <w:sz w:val="22"/>
          <w:szCs w:val="22"/>
        </w:rPr>
        <w:t>December 95 – March 98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0" w:start="7200" w:end="0"/>
        <w:rPr>
          <w:rFonts w:ascii="Times New Roman" w:hAnsi="Times New Roman" w:cs="Times New Roman"/>
          <w:sz w:val="22"/>
          <w:szCs w:val="22"/>
        </w:rPr>
      </w:pPr>
      <w:r>
        <w:rPr>
          <w:rFonts w:cs="Times New Roman" w:ascii="Times New Roman" w:hAnsi="Times New Roman"/>
          <w:sz w:val="22"/>
          <w:szCs w:val="22"/>
          <w:u w:val="single"/>
        </w:rPr>
        <w:t>Manager - Capital Group</w:t>
      </w:r>
    </w:p>
    <w:p>
      <w:pPr>
        <w:pStyle w:val="PlainText"/>
        <w:numPr>
          <w:ilvl w:val="0"/>
          <w:numId w:val="7"/>
        </w:numPr>
        <w:rPr>
          <w:rFonts w:ascii="Times New Roman" w:hAnsi="Times New Roman" w:eastAsia="MS Mincho;ＭＳ 明朝" w:cs="Times New Roman"/>
          <w:sz w:val="22"/>
        </w:rPr>
      </w:pPr>
      <w:r>
        <w:rPr>
          <w:rFonts w:eastAsia="MS Mincho;ＭＳ 明朝" w:cs="Times New Roman" w:ascii="Times New Roman" w:hAnsi="Times New Roman"/>
          <w:sz w:val="22"/>
        </w:rPr>
        <w:t>General responsibilities included raising and managing capital investments from institutional partners in oil and gas properties.  We 1) structured the terms of agreements and the investment criteria, 2) secured partner approval for major projects, 3) reported regularly on the performance of the programs and partnerships and 4) acted as the liaison between UMC and the partners regarding all aspects of partnership assets.</w:t>
      </w:r>
    </w:p>
    <w:p>
      <w:pPr>
        <w:pStyle w:val="PlainText"/>
        <w:numPr>
          <w:ilvl w:val="0"/>
          <w:numId w:val="7"/>
        </w:numPr>
        <w:rPr>
          <w:rFonts w:ascii="Times New Roman" w:hAnsi="Times New Roman" w:eastAsia="MS Mincho;ＭＳ 明朝" w:cs="Times New Roman"/>
          <w:sz w:val="22"/>
        </w:rPr>
      </w:pPr>
      <w:r>
        <w:rPr>
          <w:rFonts w:eastAsia="MS Mincho;ＭＳ 明朝" w:cs="Times New Roman" w:ascii="Times New Roman" w:hAnsi="Times New Roman"/>
          <w:sz w:val="22"/>
        </w:rPr>
        <w:t>Specific responsibilities included 1) financial quantification and analysis of partnership and program performance, including internal rate of returns, acquisition variance analysis and progress reports, 2) organization and presentation of specific project investment opportunities to partners, which included reviewing discounted cash flow reserve economics and a geological prognosis and 3) review and compilation of Purchase and Sale Agreements for property divestitures and Partnership roll-ups.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eastAsia="MS Mincho;ＭＳ 明朝" w:cs="Times New Roman"/>
          <w:sz w:val="22"/>
          <w:szCs w:val="22"/>
        </w:rPr>
      </w:pPr>
      <w:r>
        <w:rPr>
          <w:rFonts w:eastAsia="MS Mincho;ＭＳ 明朝"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6480" w:start="6480" w:end="0"/>
        <w:rPr>
          <w:rFonts w:ascii="Times New Roman" w:hAnsi="Times New Roman" w:cs="Times New Roman"/>
          <w:sz w:val="22"/>
          <w:szCs w:val="22"/>
        </w:rPr>
      </w:pPr>
      <w:r>
        <w:rPr>
          <w:rFonts w:cs="Times New Roman" w:ascii="Times New Roman" w:hAnsi="Times New Roman"/>
          <w:b/>
          <w:bCs/>
          <w:sz w:val="22"/>
          <w:szCs w:val="22"/>
        </w:rPr>
        <w:t>Price Waterhouse LLP</w:t>
      </w:r>
      <w:r>
        <w:rPr>
          <w:rFonts w:cs="Times New Roman" w:ascii="Times New Roman" w:hAnsi="Times New Roman"/>
          <w:b/>
          <w:bCs/>
          <w:smallCaps/>
          <w:sz w:val="22"/>
          <w:szCs w:val="22"/>
        </w:rPr>
        <w:t xml:space="preserve"> - </w:t>
      </w:r>
      <w:r>
        <w:rPr>
          <w:rFonts w:cs="Times New Roman" w:ascii="Times New Roman" w:hAnsi="Times New Roman"/>
          <w:b/>
          <w:bCs/>
          <w:sz w:val="22"/>
          <w:szCs w:val="22"/>
        </w:rPr>
        <w:t xml:space="preserve"> Houston, TX</w:t>
        <w:tab/>
        <w:tab/>
        <w:tab/>
        <w:tab/>
        <w:t>August 92 - December 95</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PlainText"/>
        <w:numPr>
          <w:ilvl w:val="0"/>
          <w:numId w:val="2"/>
        </w:numPr>
        <w:rPr>
          <w:rFonts w:ascii="Times New Roman" w:hAnsi="Times New Roman" w:cs="Times New Roman"/>
          <w:sz w:val="22"/>
          <w:szCs w:val="22"/>
        </w:rPr>
      </w:pPr>
      <w:r>
        <w:rPr>
          <w:rFonts w:eastAsia="MS Mincho;ＭＳ 明朝" w:cs="Times New Roman" w:ascii="Times New Roman" w:hAnsi="Times New Roman"/>
          <w:sz w:val="22"/>
        </w:rPr>
        <w:t>Primary responsibilities involved managing most aspects of audit engagements, supervising staff, and providing audit services to corporate clients in a variety of industries including oil and gas, oil field services, chemical, and manufacturing.</w:t>
      </w:r>
    </w:p>
    <w:p>
      <w:pPr>
        <w:pStyle w:val="PlainText"/>
        <w:numPr>
          <w:ilvl w:val="0"/>
          <w:numId w:val="2"/>
        </w:numPr>
        <w:rPr>
          <w:rFonts w:ascii="Times New Roman" w:hAnsi="Times New Roman" w:cs="Times New Roman"/>
          <w:sz w:val="22"/>
          <w:szCs w:val="22"/>
        </w:rPr>
      </w:pPr>
      <w:r>
        <w:rPr>
          <w:rFonts w:eastAsia="MS Mincho;ＭＳ 明朝" w:cs="Times New Roman" w:ascii="Times New Roman" w:hAnsi="Times New Roman"/>
          <w:sz w:val="22"/>
        </w:rPr>
        <w:t>Specific responsibilities included compiling, drafting, and reviewing financial statements and footnotes disclosures, providing recommendations to management regarding internal controls, planning detailed audit approaches and programs, coordinating and conducting inventory observations, and assisting clients with the development and implementation of internal control systems.</w:t>
      </w:r>
    </w:p>
    <w:p>
      <w:pPr>
        <w:pStyle w:val="PlainText"/>
        <w:numPr>
          <w:ilvl w:val="0"/>
          <w:numId w:val="2"/>
        </w:numPr>
        <w:rPr>
          <w:rFonts w:ascii="Times New Roman" w:hAnsi="Times New Roman" w:cs="Times New Roman"/>
          <w:sz w:val="22"/>
          <w:szCs w:val="22"/>
        </w:rPr>
      </w:pPr>
      <w:r>
        <w:rPr>
          <w:rFonts w:eastAsia="MS Mincho;ＭＳ 明朝" w:cs="Times New Roman" w:ascii="Times New Roman" w:hAnsi="Times New Roman"/>
          <w:sz w:val="22"/>
        </w:rPr>
        <w:t xml:space="preserve">Clients included </w:t>
      </w:r>
      <w:r>
        <w:rPr>
          <w:rFonts w:cs="Times New Roman" w:ascii="Times New Roman" w:hAnsi="Times New Roman"/>
          <w:sz w:val="22"/>
          <w:szCs w:val="22"/>
        </w:rPr>
        <w:t>Union Texas Petroleum, Exxon Exploration &amp; Prod., Exxon Consolidation, Amoco Production Company, TGX Corp.,  Precision Seismic, Criterion Catalyst, Newfield Carvout, Shell Mining, Shell-Saudi and Dowell Industrial Services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2880" w:end="0"/>
        <w:rPr/>
      </w:pPr>
      <w:r>
        <w:rPr>
          <w:rFonts w:cs="Times New Roman" w:ascii="Times New Roman" w:hAnsi="Times New Roman"/>
          <w:b/>
          <w:bCs/>
          <w:smallCaps/>
          <w:sz w:val="22"/>
          <w:szCs w:val="22"/>
        </w:rPr>
        <w:t>Computer Skills</w:t>
      </w:r>
      <w:r>
        <w:rPr>
          <w:rFonts w:cs="Times New Roman" w:ascii="Times New Roman" w:hAnsi="Times New Roman"/>
          <w:b/>
          <w:bCs/>
          <w:sz w:val="22"/>
          <w:szCs w:val="22"/>
        </w:rPr>
        <w:t>:</w:t>
      </w:r>
      <w:r>
        <w:rPr>
          <w:rFonts w:cs="Times New Roman" w:ascii="Times New Roman" w:hAnsi="Times New Roman"/>
          <w:sz w:val="22"/>
          <w:szCs w:val="22"/>
        </w:rPr>
        <w:tab/>
        <w:tab/>
        <w:t>Excel, Word, Powerpoint, Lotus Notes (E-Mail &amp; Database Management), Freelance Graphics, Harvard Graphics</w:t>
      </w:r>
    </w:p>
    <w:sectPr>
      <w:headerReference w:type="default" r:id="rId2"/>
      <w:headerReference w:type="first" r:id="rId3"/>
      <w:type w:val="nextPage"/>
      <w:pgSz w:w="12240" w:h="15840"/>
      <w:pgMar w:left="1440" w:right="1440" w:gutter="0" w:header="1008" w:top="1064"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P MathA">
    <w:altName w:val="Symbol"/>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rFonts w:cs="Courier New"/>
      </w:rPr>
    </w:pPr>
    <w:r>
      <w:rPr>
        <w:rFonts w:cs="Courier New"/>
      </w:rPr>
      <w:t>Eric Boyt</w:t>
    </w:r>
  </w:p>
  <w:p>
    <w:pPr>
      <w:pStyle w:val="Normal"/>
      <w:widowControl/>
      <w:rPr>
        <w:rFonts w:ascii="Times New Roman" w:hAnsi="Times New Roman" w:cs="Times New Roman"/>
        <w:b/>
        <w:bCs/>
        <w:lang w:val="en-CA" w:eastAsia="en-CA"/>
      </w:rPr>
    </w:pPr>
    <w:r>
      <w:rPr>
        <w:rFonts w:cs="Times New Roman" w:ascii="Times New Roman" w:hAnsi="Times New Roman"/>
        <w:b/>
        <w:bCs/>
        <w:lang w:val="en-CA" w:eastAsia="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30480</wp:posOffset>
              </wp:positionV>
              <wp:extent cx="5852160" cy="0"/>
              <wp:effectExtent l="0" t="28575" r="0" b="28575"/>
              <wp:wrapNone/>
              <wp:docPr id="2" name=""/>
              <a:graphic xmlns:a="http://schemas.openxmlformats.org/drawingml/2006/main">
                <a:graphicData uri="http://schemas.microsoft.com/office/word/2010/wordprocessingShape">
                  <wps:wsp>
                    <wps:cNvSpPr/>
                    <wps:spPr>
                      <a:xfrm>
                        <a:off x="0" y="0"/>
                        <a:ext cx="585216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2.4pt" to="460.75pt,2.4pt" stroked="t" o:allowincell="f" style="position:absolute">
              <v:stroke color="black" weight="57240" joinstyle="miter" endcap="flat"/>
              <v:fill o:detectmouseclick="t" on="false"/>
              <w10:wrap type="none"/>
            </v:line>
          </w:pict>
        </mc:Fallback>
      </mc:AlternateContent>
    </w:r>
  </w:p>
  <w:p>
    <w:pPr>
      <w:pStyle w:val="Header"/>
      <w:rPr>
        <w:rFonts w:ascii="Times New Roman" w:hAnsi="Times New Roman" w:cs="Times New Roman"/>
        <w:b/>
        <w:bCs/>
      </w:rPr>
    </w:pPr>
    <w:r>
      <w:rPr>
        <w:rFonts w:cs="Times New Roman" w:ascii="Times New Roman" w:hAnsi="Times New Roman"/>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0"/>
      <w:szCs w:val="24"/>
      <w:lang w:val="en-US" w:bidi="ar-SA" w:eastAsia="zh-CN"/>
    </w:rPr>
  </w:style>
  <w:style w:type="paragraph" w:styleId="Heading1">
    <w:name w:val="heading 1"/>
    <w:basedOn w:val="Normal"/>
    <w:next w:val="Normal"/>
    <w:qFormat/>
    <w:pPr>
      <w:keepNext w:val="true"/>
      <w:widowControl/>
      <w:numPr>
        <w:ilvl w:val="0"/>
        <w:numId w:val="1"/>
      </w:numPr>
      <w:outlineLvl w:val="0"/>
    </w:pPr>
    <w:rPr>
      <w:b/>
      <w:bCs/>
      <w:smallCaps/>
      <w:sz w:val="32"/>
      <w:szCs w:val="32"/>
    </w:rPr>
  </w:style>
  <w:style w:type="paragraph" w:styleId="Heading2">
    <w:name w:val="heading 2"/>
    <w:basedOn w:val="Normal"/>
    <w:next w:val="Normal"/>
    <w:qFormat/>
    <w:pPr>
      <w:keepNext w:val="true"/>
      <w:widowControl/>
      <w:numPr>
        <w:ilvl w:val="1"/>
        <w:numId w:val="1"/>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outlineLvl w:val="1"/>
    </w:pPr>
    <w:rPr>
      <w:rFonts w:ascii="Times New Roman" w:hAnsi="Times New Roman" w:cs="Times New Roman"/>
      <w:sz w:val="22"/>
      <w:szCs w:val="22"/>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Times New Roma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St1z0">
    <w:name w:val="WW8NumSt1z0"/>
    <w:qFormat/>
    <w:rPr>
      <w:rFonts w:ascii="WP MathA;Symbol" w:hAnsi="WP MathA;Symbol" w:cs="Times New Roma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2">
    <w:name w:val="_"/>
    <w:basedOn w:val="Normal"/>
    <w:qFormat/>
    <w:pPr>
      <w:ind w:hanging="720" w:start="720" w:end="0"/>
    </w:pPr>
    <w:rPr>
      <w:rFonts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widowControl/>
      <w:autoSpaceDE w:val="true"/>
    </w:pPr>
    <w:rPr>
      <w:rFonts w:cs="Courier New"/>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2001-05-12T04:39:00Z</dcterms:created>
  <dc:creator>Eric Boyt</dc:creator>
  <dc:description/>
  <dc:language>en-CA</dc:language>
  <cp:lastModifiedBy>Eric Boyt</cp:lastModifiedBy>
  <cp:lastPrinted>2001-05-12T00:03:00Z</cp:lastPrinted>
  <dcterms:modified xsi:type="dcterms:W3CDTF">2001-05-12T04:39:00Z</dcterms:modified>
  <cp:revision>2</cp:revision>
  <dc:subject/>
  <dc:title>Eric Boyt</dc:title>
</cp:coreProperties>
</file>