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8450" w:type="dxa"/>
        <w:jc w:val="start"/>
        <w:tblInd w:w="-432" w:type="dxa"/>
        <w:tblLayout w:type="fixed"/>
        <w:tblCellMar>
          <w:top w:w="0" w:type="dxa"/>
          <w:start w:w="108" w:type="dxa"/>
          <w:bottom w:w="0" w:type="dxa"/>
          <w:end w:w="108" w:type="dxa"/>
        </w:tblCellMar>
      </w:tblPr>
      <w:tblGrid>
        <w:gridCol w:w="18450"/>
      </w:tblGrid>
      <w:tr>
        <w:trPr/>
        <w:tc>
          <w:tcPr>
            <w:tcW w:w="18450" w:type="dxa"/>
            <w:tcBorders>
              <w:top w:val="single" w:sz="4" w:space="0" w:color="000000"/>
              <w:start w:val="single" w:sz="4" w:space="0" w:color="000000"/>
              <w:bottom w:val="single" w:sz="4" w:space="0" w:color="000000"/>
              <w:end w:val="single" w:sz="4" w:space="0" w:color="000000"/>
            </w:tcBorders>
            <w:shd w:fill="FFFF00" w:val="clear"/>
          </w:tcPr>
          <w:p>
            <w:pPr>
              <w:pStyle w:val="Normal"/>
              <w:rPr>
                <w:b/>
              </w:rPr>
            </w:pPr>
            <w:r>
              <w:rPr>
                <w:b/>
                <w:sz w:val="24"/>
              </w:rPr>
              <w:t>Project Objective</w:t>
            </w:r>
          </w:p>
        </w:tc>
      </w:tr>
      <w:tr>
        <w:trPr/>
        <w:tc>
          <w:tcPr>
            <w:tcW w:w="18450" w:type="dxa"/>
            <w:tcBorders>
              <w:top w:val="single" w:sz="4" w:space="0" w:color="000000"/>
              <w:start w:val="single" w:sz="4" w:space="0" w:color="000000"/>
              <w:bottom w:val="single" w:sz="4" w:space="0" w:color="000000"/>
              <w:end w:val="single" w:sz="4" w:space="0" w:color="000000"/>
            </w:tcBorders>
          </w:tcPr>
          <w:p>
            <w:pPr>
              <w:pStyle w:val="Heading5"/>
              <w:ind w:hanging="0" w:start="0"/>
              <w:rPr>
                <w:b w:val="false"/>
                <w:i w:val="false"/>
                <w:i w:val="false"/>
                <w:sz w:val="24"/>
              </w:rPr>
            </w:pPr>
            <w:r>
              <w:rPr>
                <w:b w:val="false"/>
                <w:i w:val="false"/>
                <w:sz w:val="24"/>
              </w:rPr>
              <w:t>The purpose of our review was to understand the process by which the equity comparable basket is developed and subsequently updated during deal execution and quarterly revaluation.  Our review was designed to identify and to test significant policies, procedures and controls that ensure the comparable basket properly reflects investment characteristics and is developed in a consistent manner.</w:t>
            </w:r>
          </w:p>
        </w:tc>
      </w:tr>
    </w:tbl>
    <w:p>
      <w:pPr>
        <w:pStyle w:val="Normal"/>
        <w:rPr/>
      </w:pPr>
      <w:r>
        <w:rPr/>
      </w:r>
    </w:p>
    <w:tbl>
      <w:tblPr>
        <w:tblW w:w="18450" w:type="dxa"/>
        <w:jc w:val="start"/>
        <w:tblInd w:w="-432" w:type="dxa"/>
        <w:tblLayout w:type="fixed"/>
        <w:tblCellMar>
          <w:top w:w="0" w:type="dxa"/>
          <w:start w:w="108" w:type="dxa"/>
          <w:bottom w:w="0" w:type="dxa"/>
          <w:end w:w="108" w:type="dxa"/>
        </w:tblCellMar>
      </w:tblPr>
      <w:tblGrid>
        <w:gridCol w:w="1800"/>
        <w:gridCol w:w="1350"/>
        <w:gridCol w:w="1800"/>
        <w:gridCol w:w="2700"/>
        <w:gridCol w:w="1350"/>
        <w:gridCol w:w="2610"/>
        <w:gridCol w:w="3870"/>
        <w:gridCol w:w="2970"/>
      </w:tblGrid>
      <w:tr>
        <w:trPr>
          <w:tblHeader w:val="true"/>
        </w:trPr>
        <w:tc>
          <w:tcPr>
            <w:tcW w:w="1800" w:type="dxa"/>
            <w:tcBorders>
              <w:top w:val="single" w:sz="6" w:space="0" w:color="000000"/>
              <w:start w:val="single" w:sz="6" w:space="0" w:color="000000"/>
              <w:bottom w:val="single" w:sz="6" w:space="0" w:color="000000"/>
              <w:end w:val="single" w:sz="6" w:space="0" w:color="000000"/>
            </w:tcBorders>
            <w:shd w:fill="FFFF00" w:val="clear"/>
          </w:tcPr>
          <w:p>
            <w:pPr>
              <w:pStyle w:val="Normal"/>
              <w:rPr>
                <w:b/>
                <w:sz w:val="24"/>
              </w:rPr>
            </w:pPr>
            <w:r>
              <w:rPr>
                <w:b/>
                <w:sz w:val="24"/>
              </w:rPr>
              <w:t>Project Name</w:t>
            </w:r>
          </w:p>
        </w:tc>
        <w:tc>
          <w:tcPr>
            <w:tcW w:w="135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Risk Area</w:t>
            </w:r>
          </w:p>
        </w:tc>
        <w:tc>
          <w:tcPr>
            <w:tcW w:w="180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Target Activity</w:t>
            </w:r>
          </w:p>
        </w:tc>
        <w:tc>
          <w:tcPr>
            <w:tcW w:w="2700" w:type="dxa"/>
            <w:tcBorders>
              <w:top w:val="single" w:sz="6" w:space="0" w:color="000000"/>
              <w:start w:val="single" w:sz="6" w:space="0" w:color="000000"/>
              <w:bottom w:val="single" w:sz="6" w:space="0" w:color="000000"/>
              <w:end w:val="single" w:sz="6" w:space="0" w:color="000000"/>
            </w:tcBorders>
            <w:shd w:fill="FF0000" w:val="clear"/>
          </w:tcPr>
          <w:p>
            <w:pPr>
              <w:pStyle w:val="Normal"/>
              <w:jc w:val="center"/>
              <w:rPr>
                <w:b/>
                <w:sz w:val="24"/>
              </w:rPr>
            </w:pPr>
            <w:r>
              <w:rPr>
                <w:b/>
                <w:sz w:val="24"/>
              </w:rPr>
              <w:t>Specific Risk Objectives</w:t>
            </w:r>
          </w:p>
        </w:tc>
        <w:tc>
          <w:tcPr>
            <w:tcW w:w="1350" w:type="dxa"/>
            <w:tcBorders>
              <w:top w:val="single" w:sz="6" w:space="0" w:color="000000"/>
              <w:start w:val="single" w:sz="6" w:space="0" w:color="000000"/>
              <w:bottom w:val="single" w:sz="6" w:space="0" w:color="000000"/>
              <w:end w:val="single" w:sz="6" w:space="0" w:color="000000"/>
            </w:tcBorders>
            <w:shd w:fill="FF0000" w:val="clear"/>
          </w:tcPr>
          <w:p>
            <w:pPr>
              <w:pStyle w:val="Normal"/>
              <w:jc w:val="center"/>
              <w:rPr>
                <w:b/>
                <w:sz w:val="24"/>
              </w:rPr>
            </w:pPr>
            <w:r>
              <w:rPr>
                <w:b/>
                <w:sz w:val="24"/>
                <w:shd w:fill="FF0000" w:val="clear"/>
              </w:rPr>
              <w:t>Objective Met?</w:t>
            </w:r>
          </w:p>
        </w:tc>
        <w:tc>
          <w:tcPr>
            <w:tcW w:w="2610" w:type="dxa"/>
            <w:tcBorders>
              <w:top w:val="single" w:sz="6" w:space="0" w:color="000000"/>
              <w:start w:val="single" w:sz="6" w:space="0" w:color="000000"/>
              <w:bottom w:val="single" w:sz="6" w:space="0" w:color="000000"/>
              <w:end w:val="single" w:sz="6" w:space="0" w:color="000000"/>
            </w:tcBorders>
            <w:shd w:fill="800000" w:val="clear"/>
          </w:tcPr>
          <w:p>
            <w:pPr>
              <w:pStyle w:val="Normal"/>
              <w:jc w:val="center"/>
              <w:rPr>
                <w:b/>
                <w:sz w:val="24"/>
              </w:rPr>
            </w:pPr>
            <w:r>
              <w:rPr>
                <w:b/>
                <w:sz w:val="24"/>
              </w:rPr>
              <w:t>Existing Control(s)</w:t>
            </w:r>
          </w:p>
        </w:tc>
        <w:tc>
          <w:tcPr>
            <w:tcW w:w="3870" w:type="dxa"/>
            <w:tcBorders>
              <w:top w:val="single" w:sz="6" w:space="0" w:color="000000"/>
              <w:start w:val="single" w:sz="6" w:space="0" w:color="000000"/>
              <w:bottom w:val="single" w:sz="6" w:space="0" w:color="000000"/>
              <w:end w:val="single" w:sz="6" w:space="0" w:color="000000"/>
            </w:tcBorders>
            <w:shd w:fill="0000FF" w:val="clear"/>
          </w:tcPr>
          <w:p>
            <w:pPr>
              <w:pStyle w:val="Normal"/>
              <w:jc w:val="center"/>
              <w:rPr>
                <w:b/>
                <w:sz w:val="24"/>
              </w:rPr>
            </w:pPr>
            <w:r>
              <w:rPr>
                <w:b/>
                <w:sz w:val="24"/>
              </w:rPr>
              <w:t>Findings</w:t>
            </w:r>
          </w:p>
        </w:tc>
        <w:tc>
          <w:tcPr>
            <w:tcW w:w="2970" w:type="dxa"/>
            <w:tcBorders>
              <w:top w:val="single" w:sz="6" w:space="0" w:color="000000"/>
              <w:start w:val="single" w:sz="6" w:space="0" w:color="000000"/>
              <w:bottom w:val="single" w:sz="6" w:space="0" w:color="000000"/>
              <w:end w:val="single" w:sz="6" w:space="0" w:color="000000"/>
            </w:tcBorders>
            <w:shd w:fill="00FFFF" w:val="clear"/>
          </w:tcPr>
          <w:p>
            <w:pPr>
              <w:pStyle w:val="Normal"/>
              <w:jc w:val="center"/>
              <w:rPr>
                <w:b/>
                <w:sz w:val="24"/>
              </w:rPr>
            </w:pPr>
            <w:r>
              <w:rPr>
                <w:b/>
                <w:sz w:val="24"/>
              </w:rPr>
              <w:t>Recommendation,</w:t>
            </w:r>
          </w:p>
          <w:p>
            <w:pPr>
              <w:pStyle w:val="Normal"/>
              <w:jc w:val="center"/>
              <w:rPr>
                <w:b/>
                <w:sz w:val="24"/>
              </w:rPr>
            </w:pPr>
            <w:r>
              <w:rPr>
                <w:b/>
                <w:sz w:val="24"/>
              </w:rPr>
              <w:t>Person &amp; Target Date</w:t>
            </w:r>
          </w:p>
        </w:tc>
      </w:tr>
      <w:tr>
        <w:trPr>
          <w:trHeight w:val="1272" w:hRule="atLeast"/>
        </w:trPr>
        <w:tc>
          <w:tcPr>
            <w:tcW w:w="1800" w:type="dxa"/>
            <w:tcBorders>
              <w:top w:val="single" w:sz="6" w:space="0" w:color="000000"/>
              <w:start w:val="single" w:sz="6" w:space="0" w:color="000000"/>
              <w:bottom w:val="single" w:sz="6" w:space="0" w:color="000000"/>
              <w:end w:val="single" w:sz="6" w:space="0" w:color="000000"/>
            </w:tcBorders>
          </w:tcPr>
          <w:p>
            <w:pPr>
              <w:pStyle w:val="Normal"/>
              <w:rPr>
                <w:sz w:val="18"/>
                <w:u w:val="single"/>
              </w:rPr>
            </w:pPr>
            <w:r>
              <w:rPr>
                <w:i/>
                <w:sz w:val="18"/>
                <w:u w:val="single"/>
              </w:rPr>
              <w:t>Equity Comparables</w:t>
            </w:r>
          </w:p>
        </w:tc>
        <w:tc>
          <w:tcPr>
            <w:tcW w:w="135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Financial Markets</w:t>
            </w:r>
          </w:p>
        </w:tc>
        <w:tc>
          <w:tcPr>
            <w:tcW w:w="1800" w:type="dxa"/>
            <w:tcBorders>
              <w:top w:val="single" w:sz="6" w:space="0" w:color="000000"/>
              <w:start w:val="single" w:sz="6" w:space="0" w:color="000000"/>
              <w:bottom w:val="single" w:sz="6" w:space="0" w:color="000000"/>
              <w:end w:val="single" w:sz="6" w:space="0" w:color="000000"/>
            </w:tcBorders>
          </w:tcPr>
          <w:p>
            <w:pPr>
              <w:pStyle w:val="Heading3"/>
              <w:ind w:start="0" w:end="0"/>
              <w:rPr>
                <w:i w:val="false"/>
                <w:i w:val="false"/>
                <w:sz w:val="18"/>
              </w:rPr>
            </w:pPr>
            <w:r>
              <w:rPr>
                <w:i w:val="false"/>
                <w:sz w:val="18"/>
              </w:rPr>
              <w:t>Valuation Activities – Model Development, Application and Maintenance (FV)</w:t>
            </w:r>
          </w:p>
        </w:tc>
        <w:tc>
          <w:tcPr>
            <w:tcW w:w="270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Procedures and methodologies are in place to develop, review and approve comparable baskets for new investments and perform subsequent quarterly revaluations of these comparable baskets.</w:t>
            </w:r>
          </w:p>
        </w:tc>
        <w:tc>
          <w:tcPr>
            <w:tcW w:w="135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18"/>
              </w:rPr>
            </w:pPr>
            <w:r>
              <w:rPr>
                <w:sz w:val="18"/>
              </w:rPr>
              <w:t>No</w:t>
            </w:r>
          </w:p>
        </w:tc>
        <w:tc>
          <w:tcPr>
            <w:tcW w:w="2610" w:type="dxa"/>
            <w:tcBorders>
              <w:top w:val="single" w:sz="6" w:space="0" w:color="000000"/>
              <w:start w:val="single" w:sz="6" w:space="0" w:color="000000"/>
              <w:bottom w:val="single" w:sz="6" w:space="0" w:color="000000"/>
              <w:end w:val="single" w:sz="6" w:space="0" w:color="000000"/>
            </w:tcBorders>
          </w:tcPr>
          <w:p>
            <w:pPr>
              <w:pStyle w:val="Normal"/>
              <w:numPr>
                <w:ilvl w:val="0"/>
                <w:numId w:val="7"/>
              </w:numPr>
              <w:tabs>
                <w:tab w:val="clear" w:pos="720"/>
                <w:tab w:val="left" w:pos="2160" w:leader="none"/>
              </w:tabs>
              <w:rPr>
                <w:sz w:val="18"/>
              </w:rPr>
            </w:pPr>
            <w:r>
              <w:rPr>
                <w:sz w:val="18"/>
              </w:rPr>
              <w:t>CTG Management reviews the individual spreadsheets and the accompanying values for reasonableness prior to e-mailing them to RAC.</w:t>
            </w:r>
          </w:p>
          <w:p>
            <w:pPr>
              <w:pStyle w:val="Normal"/>
              <w:tabs>
                <w:tab w:val="clear" w:pos="720"/>
                <w:tab w:val="left" w:pos="2160" w:leader="none"/>
              </w:tabs>
              <w:rPr>
                <w:sz w:val="18"/>
              </w:rPr>
            </w:pPr>
            <w:r>
              <w:rPr>
                <w:sz w:val="18"/>
              </w:rPr>
            </w:r>
          </w:p>
          <w:p>
            <w:pPr>
              <w:pStyle w:val="Normal"/>
              <w:numPr>
                <w:ilvl w:val="0"/>
                <w:numId w:val="10"/>
              </w:numPr>
              <w:tabs>
                <w:tab w:val="clear" w:pos="720"/>
                <w:tab w:val="left" w:pos="2160" w:leader="none"/>
              </w:tabs>
              <w:rPr>
                <w:sz w:val="18"/>
              </w:rPr>
            </w:pPr>
            <w:r>
              <w:rPr>
                <w:sz w:val="18"/>
              </w:rPr>
              <w:t>To prevent the comparable basket from being skewed by outliers, companies with multiples greater than 15 or lower than 4 are excluded from comp analysis and calculations.</w:t>
            </w:r>
          </w:p>
          <w:p>
            <w:pPr>
              <w:pStyle w:val="Normal"/>
              <w:tabs>
                <w:tab w:val="clear" w:pos="720"/>
                <w:tab w:val="left" w:pos="2160" w:leader="none"/>
              </w:tabs>
              <w:rPr>
                <w:sz w:val="18"/>
              </w:rPr>
            </w:pPr>
            <w:r>
              <w:rPr>
                <w:sz w:val="18"/>
              </w:rPr>
            </w:r>
          </w:p>
          <w:p>
            <w:pPr>
              <w:pStyle w:val="Normal"/>
              <w:tabs>
                <w:tab w:val="clear" w:pos="720"/>
                <w:tab w:val="left" w:pos="2160" w:leader="none"/>
              </w:tabs>
              <w:rPr>
                <w:sz w:val="18"/>
              </w:rPr>
            </w:pPr>
            <w:r>
              <w:rPr>
                <w:sz w:val="18"/>
              </w:rPr>
            </w:r>
          </w:p>
        </w:tc>
        <w:tc>
          <w:tcPr>
            <w:tcW w:w="3870" w:type="dxa"/>
            <w:tcBorders>
              <w:top w:val="single" w:sz="6" w:space="0" w:color="000000"/>
              <w:start w:val="single" w:sz="6" w:space="0" w:color="000000"/>
              <w:bottom w:val="single" w:sz="6" w:space="0" w:color="000000"/>
              <w:end w:val="single" w:sz="6" w:space="0" w:color="000000"/>
            </w:tcBorders>
          </w:tcPr>
          <w:p>
            <w:pPr>
              <w:pStyle w:val="Normal"/>
              <w:numPr>
                <w:ilvl w:val="0"/>
                <w:numId w:val="2"/>
              </w:numPr>
              <w:tabs>
                <w:tab w:val="clear" w:pos="720"/>
                <w:tab w:val="left" w:pos="2160" w:leader="none"/>
              </w:tabs>
              <w:rPr>
                <w:sz w:val="18"/>
              </w:rPr>
            </w:pPr>
            <w:r>
              <w:rPr>
                <w:sz w:val="18"/>
              </w:rPr>
              <w:t>The following are not formally documented:</w:t>
            </w:r>
          </w:p>
          <w:p>
            <w:pPr>
              <w:pStyle w:val="Normal"/>
              <w:tabs>
                <w:tab w:val="clear" w:pos="720"/>
                <w:tab w:val="left" w:pos="2160" w:leader="none"/>
              </w:tabs>
              <w:ind w:start="240" w:end="0"/>
              <w:rPr>
                <w:sz w:val="18"/>
              </w:rPr>
            </w:pPr>
            <w:r>
              <w:rPr>
                <w:sz w:val="18"/>
              </w:rPr>
            </w:r>
          </w:p>
          <w:p>
            <w:pPr>
              <w:pStyle w:val="Normal"/>
              <w:numPr>
                <w:ilvl w:val="0"/>
                <w:numId w:val="3"/>
              </w:numPr>
              <w:tabs>
                <w:tab w:val="clear" w:pos="720"/>
                <w:tab w:val="left" w:pos="523" w:leader="none"/>
                <w:tab w:val="left" w:pos="2160" w:leader="none"/>
              </w:tabs>
              <w:ind w:hanging="283" w:start="523" w:end="0"/>
              <w:rPr>
                <w:sz w:val="18"/>
              </w:rPr>
            </w:pPr>
            <w:r>
              <w:rPr>
                <w:sz w:val="18"/>
              </w:rPr>
              <w:t>The Commercial Transaction Group’s (“CTG”) processes and procedures for deriving a comparable basket for a new investment</w:t>
            </w:r>
          </w:p>
          <w:p>
            <w:pPr>
              <w:pStyle w:val="Normal"/>
              <w:numPr>
                <w:ilvl w:val="0"/>
                <w:numId w:val="3"/>
              </w:numPr>
              <w:tabs>
                <w:tab w:val="clear" w:pos="720"/>
                <w:tab w:val="left" w:pos="511" w:leader="none"/>
                <w:tab w:val="left" w:pos="2160" w:leader="none"/>
              </w:tabs>
              <w:ind w:hanging="283" w:start="511" w:end="0"/>
              <w:rPr>
                <w:sz w:val="18"/>
              </w:rPr>
            </w:pPr>
            <w:r>
              <w:rPr>
                <w:sz w:val="18"/>
              </w:rPr>
              <w:t>CTG’s processes and procedures for updating and reviewing the comparable baskets during the quarterly revaluation process</w:t>
            </w:r>
          </w:p>
          <w:p>
            <w:pPr>
              <w:pStyle w:val="Normal"/>
              <w:numPr>
                <w:ilvl w:val="0"/>
                <w:numId w:val="3"/>
              </w:numPr>
              <w:tabs>
                <w:tab w:val="clear" w:pos="720"/>
                <w:tab w:val="left" w:pos="523" w:leader="none"/>
                <w:tab w:val="left" w:pos="2160" w:leader="none"/>
              </w:tabs>
              <w:ind w:hanging="283" w:start="523" w:end="0"/>
              <w:rPr>
                <w:sz w:val="18"/>
              </w:rPr>
            </w:pPr>
            <w:r>
              <w:rPr>
                <w:sz w:val="18"/>
              </w:rPr>
              <w:t>The Risk Assessment and Controls’ (“RAC”) processes and procedures for reviewing and approving the comparable basket for a new investment</w:t>
            </w:r>
          </w:p>
          <w:p>
            <w:pPr>
              <w:pStyle w:val="Normal"/>
              <w:numPr>
                <w:ilvl w:val="0"/>
                <w:numId w:val="3"/>
              </w:numPr>
              <w:tabs>
                <w:tab w:val="clear" w:pos="720"/>
                <w:tab w:val="left" w:pos="523" w:leader="none"/>
                <w:tab w:val="left" w:pos="2160" w:leader="none"/>
              </w:tabs>
              <w:ind w:hanging="283" w:start="523" w:end="0"/>
              <w:rPr>
                <w:sz w:val="18"/>
              </w:rPr>
            </w:pPr>
            <w:r>
              <w:rPr>
                <w:sz w:val="18"/>
              </w:rPr>
              <w:t>RAC’s processes and procedures for reviewing and approving the comparable basket during the quarterly revaluation process</w:t>
            </w:r>
          </w:p>
          <w:p>
            <w:pPr>
              <w:pStyle w:val="Normal"/>
              <w:tabs>
                <w:tab w:val="clear" w:pos="720"/>
                <w:tab w:val="left" w:pos="2160" w:leader="none"/>
              </w:tabs>
              <w:rPr>
                <w:sz w:val="18"/>
              </w:rPr>
            </w:pPr>
            <w:r>
              <w:rPr>
                <w:sz w:val="18"/>
              </w:rPr>
            </w:r>
          </w:p>
        </w:tc>
        <w:tc>
          <w:tcPr>
            <w:tcW w:w="2970" w:type="dxa"/>
            <w:tcBorders>
              <w:top w:val="single" w:sz="6" w:space="0" w:color="000000"/>
              <w:start w:val="single" w:sz="6" w:space="0" w:color="000000"/>
              <w:bottom w:val="single" w:sz="6" w:space="0" w:color="000000"/>
              <w:end w:val="single" w:sz="6" w:space="0" w:color="000000"/>
            </w:tcBorders>
          </w:tcPr>
          <w:p>
            <w:pPr>
              <w:pStyle w:val="Normal"/>
              <w:numPr>
                <w:ilvl w:val="0"/>
                <w:numId w:val="9"/>
              </w:numPr>
              <w:tabs>
                <w:tab w:val="clear" w:pos="720"/>
                <w:tab w:val="left" w:pos="2160" w:leader="none"/>
              </w:tabs>
              <w:rPr>
                <w:sz w:val="18"/>
              </w:rPr>
            </w:pPr>
            <w:r>
              <w:rPr>
                <w:sz w:val="18"/>
              </w:rPr>
              <w:t xml:space="preserve">Formally document these processes and procedures to ensure consistency during the new deal valuation and quarterly revaluation process. </w:t>
            </w:r>
          </w:p>
          <w:p>
            <w:pPr>
              <w:pStyle w:val="Normal"/>
              <w:tabs>
                <w:tab w:val="clear" w:pos="720"/>
                <w:tab w:val="left" w:pos="2160" w:leader="none"/>
              </w:tabs>
              <w:rPr>
                <w:sz w:val="18"/>
              </w:rPr>
            </w:pPr>
            <w:r>
              <w:rPr>
                <w:sz w:val="18"/>
              </w:rPr>
            </w:r>
          </w:p>
          <w:p>
            <w:pPr>
              <w:pStyle w:val="Normal"/>
              <w:tabs>
                <w:tab w:val="clear" w:pos="720"/>
                <w:tab w:val="left" w:pos="2160" w:leader="none"/>
              </w:tabs>
              <w:rPr>
                <w:sz w:val="18"/>
              </w:rPr>
            </w:pPr>
            <w:r>
              <w:rPr>
                <w:sz w:val="18"/>
              </w:rPr>
            </w:r>
          </w:p>
          <w:p>
            <w:pPr>
              <w:pStyle w:val="Normal"/>
              <w:tabs>
                <w:tab w:val="clear" w:pos="720"/>
                <w:tab w:val="left" w:pos="2160" w:leader="none"/>
              </w:tabs>
              <w:rPr>
                <w:sz w:val="18"/>
              </w:rPr>
            </w:pPr>
            <w:r>
              <w:rPr>
                <w:sz w:val="18"/>
              </w:rPr>
            </w:r>
          </w:p>
          <w:p>
            <w:pPr>
              <w:pStyle w:val="Normal"/>
              <w:tabs>
                <w:tab w:val="clear" w:pos="720"/>
                <w:tab w:val="left" w:pos="2160" w:leader="none"/>
              </w:tabs>
              <w:rPr>
                <w:sz w:val="18"/>
              </w:rPr>
            </w:pPr>
            <w:r>
              <w:rPr>
                <w:sz w:val="18"/>
              </w:rPr>
            </w:r>
          </w:p>
          <w:p>
            <w:pPr>
              <w:pStyle w:val="Normal"/>
              <w:tabs>
                <w:tab w:val="clear" w:pos="720"/>
                <w:tab w:val="left" w:pos="2160" w:leader="none"/>
              </w:tabs>
              <w:rPr>
                <w:sz w:val="18"/>
              </w:rPr>
            </w:pPr>
            <w:r>
              <w:rPr>
                <w:sz w:val="18"/>
              </w:rPr>
            </w:r>
          </w:p>
          <w:p>
            <w:pPr>
              <w:pStyle w:val="Normal"/>
              <w:tabs>
                <w:tab w:val="clear" w:pos="720"/>
                <w:tab w:val="left" w:pos="2160" w:leader="none"/>
              </w:tabs>
              <w:rPr>
                <w:sz w:val="18"/>
              </w:rPr>
            </w:pPr>
            <w:r>
              <w:rPr>
                <w:sz w:val="18"/>
              </w:rPr>
            </w:r>
          </w:p>
          <w:p>
            <w:pPr>
              <w:pStyle w:val="Normal"/>
              <w:tabs>
                <w:tab w:val="clear" w:pos="720"/>
                <w:tab w:val="left" w:pos="2160" w:leader="none"/>
              </w:tabs>
              <w:rPr>
                <w:sz w:val="18"/>
              </w:rPr>
            </w:pPr>
            <w:r>
              <w:rPr>
                <w:sz w:val="18"/>
              </w:rPr>
            </w:r>
          </w:p>
        </w:tc>
      </w:tr>
      <w:tr>
        <w:trPr>
          <w:trHeight w:val="2451" w:hRule="atLeast"/>
        </w:trPr>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i/>
                <w:i/>
                <w:sz w:val="18"/>
                <w:u w:val="single"/>
              </w:rPr>
            </w:pPr>
            <w:r>
              <w:rPr>
                <w:i/>
                <w:sz w:val="18"/>
                <w:u w:val="single"/>
              </w:rPr>
            </w:r>
          </w:p>
        </w:tc>
        <w:tc>
          <w:tcPr>
            <w:tcW w:w="135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 xml:space="preserve">Financial Markets </w:t>
            </w:r>
          </w:p>
        </w:tc>
        <w:tc>
          <w:tcPr>
            <w:tcW w:w="1800" w:type="dxa"/>
            <w:tcBorders>
              <w:top w:val="single" w:sz="6" w:space="0" w:color="000000"/>
              <w:start w:val="single" w:sz="6" w:space="0" w:color="000000"/>
              <w:bottom w:val="single" w:sz="6" w:space="0" w:color="000000"/>
              <w:end w:val="single" w:sz="6" w:space="0" w:color="000000"/>
            </w:tcBorders>
          </w:tcPr>
          <w:p>
            <w:pPr>
              <w:pStyle w:val="Heading3"/>
              <w:ind w:start="0" w:end="0"/>
              <w:rPr>
                <w:i w:val="false"/>
                <w:i w:val="false"/>
                <w:sz w:val="18"/>
              </w:rPr>
            </w:pPr>
            <w:r>
              <w:rPr>
                <w:i w:val="false"/>
                <w:sz w:val="18"/>
              </w:rPr>
              <w:t>Valuation Activities – Model Development, Application and Maintenance (FV)</w:t>
            </w:r>
          </w:p>
        </w:tc>
        <w:tc>
          <w:tcPr>
            <w:tcW w:w="2700" w:type="dxa"/>
            <w:tcBorders>
              <w:top w:val="single" w:sz="6" w:space="0" w:color="000000"/>
              <w:start w:val="single" w:sz="6" w:space="0" w:color="000000"/>
              <w:bottom w:val="single" w:sz="6" w:space="0" w:color="000000"/>
              <w:end w:val="single" w:sz="6" w:space="0" w:color="000000"/>
            </w:tcBorders>
          </w:tcPr>
          <w:p>
            <w:pPr>
              <w:pStyle w:val="Heading3"/>
              <w:ind w:start="0" w:end="0"/>
              <w:rPr>
                <w:i w:val="false"/>
                <w:i w:val="false"/>
                <w:sz w:val="18"/>
              </w:rPr>
            </w:pPr>
            <w:r>
              <w:rPr>
                <w:i w:val="false"/>
                <w:sz w:val="18"/>
              </w:rPr>
              <w:t>Comparable baskets are monitored to determine selected entities remain applicable to assigned investments.  Changes to the comparable basket are appropriately approved and documented.</w:t>
            </w:r>
          </w:p>
        </w:tc>
        <w:tc>
          <w:tcPr>
            <w:tcW w:w="135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rPr>
                <w:sz w:val="18"/>
              </w:rPr>
            </w:pPr>
            <w:r>
              <w:rPr>
                <w:sz w:val="18"/>
              </w:rPr>
              <w:t>No</w:t>
            </w:r>
          </w:p>
        </w:tc>
        <w:tc>
          <w:tcPr>
            <w:tcW w:w="2610" w:type="dxa"/>
            <w:tcBorders>
              <w:top w:val="single" w:sz="6" w:space="0" w:color="000000"/>
              <w:start w:val="single" w:sz="6" w:space="0" w:color="000000"/>
              <w:bottom w:val="single" w:sz="6" w:space="0" w:color="000000"/>
              <w:end w:val="single" w:sz="6" w:space="0" w:color="000000"/>
            </w:tcBorders>
          </w:tcPr>
          <w:p>
            <w:pPr>
              <w:pStyle w:val="Normal"/>
              <w:numPr>
                <w:ilvl w:val="0"/>
                <w:numId w:val="4"/>
              </w:numPr>
              <w:tabs>
                <w:tab w:val="clear" w:pos="720"/>
                <w:tab w:val="left" w:pos="2160" w:leader="none"/>
              </w:tabs>
              <w:rPr>
                <w:sz w:val="18"/>
              </w:rPr>
            </w:pPr>
            <w:r>
              <w:rPr>
                <w:sz w:val="18"/>
              </w:rPr>
              <w:t>The Investment Valuation Group reviews the information provided by CTG.  The values are checked on a scope basis and the multiples for each company are compared with those from the previous quarter to ensure consistency.</w:t>
            </w:r>
          </w:p>
        </w:tc>
        <w:tc>
          <w:tcPr>
            <w:tcW w:w="3870" w:type="dxa"/>
            <w:tcBorders>
              <w:top w:val="single" w:sz="6" w:space="0" w:color="000000"/>
              <w:start w:val="single" w:sz="6" w:space="0" w:color="000000"/>
              <w:bottom w:val="single" w:sz="6" w:space="0" w:color="000000"/>
              <w:end w:val="single" w:sz="6" w:space="0" w:color="000000"/>
            </w:tcBorders>
          </w:tcPr>
          <w:p>
            <w:pPr>
              <w:pStyle w:val="Normal"/>
              <w:numPr>
                <w:ilvl w:val="0"/>
                <w:numId w:val="13"/>
              </w:numPr>
              <w:tabs>
                <w:tab w:val="clear" w:pos="720"/>
                <w:tab w:val="left" w:pos="2160" w:leader="none"/>
              </w:tabs>
              <w:rPr>
                <w:sz w:val="18"/>
              </w:rPr>
            </w:pPr>
            <w:r>
              <w:rPr>
                <w:sz w:val="18"/>
              </w:rPr>
              <w:t>There is no evidence or documentation of a detailed, quarterly review of the comparable basket to ensure that each comparable company is still applicable to the investment.</w:t>
            </w:r>
          </w:p>
          <w:p>
            <w:pPr>
              <w:pStyle w:val="Normal"/>
              <w:tabs>
                <w:tab w:val="clear" w:pos="720"/>
                <w:tab w:val="left" w:pos="2160" w:leader="none"/>
              </w:tabs>
              <w:rPr>
                <w:sz w:val="18"/>
              </w:rPr>
            </w:pPr>
            <w:r>
              <w:rPr>
                <w:sz w:val="18"/>
              </w:rPr>
            </w:r>
          </w:p>
          <w:p>
            <w:pPr>
              <w:pStyle w:val="Normal"/>
              <w:tabs>
                <w:tab w:val="clear" w:pos="720"/>
                <w:tab w:val="left" w:pos="2160" w:leader="none"/>
              </w:tabs>
              <w:rPr>
                <w:sz w:val="18"/>
              </w:rPr>
            </w:pPr>
            <w:r>
              <w:rPr>
                <w:sz w:val="18"/>
              </w:rPr>
            </w:r>
          </w:p>
          <w:p>
            <w:pPr>
              <w:pStyle w:val="Normal"/>
              <w:tabs>
                <w:tab w:val="clear" w:pos="720"/>
                <w:tab w:val="left" w:pos="2160" w:leader="none"/>
              </w:tabs>
              <w:rPr>
                <w:sz w:val="18"/>
              </w:rPr>
            </w:pPr>
            <w:r>
              <w:rPr>
                <w:sz w:val="18"/>
              </w:rPr>
            </w:r>
          </w:p>
          <w:p>
            <w:pPr>
              <w:pStyle w:val="Normal"/>
              <w:tabs>
                <w:tab w:val="clear" w:pos="720"/>
                <w:tab w:val="left" w:pos="2160" w:leader="none"/>
              </w:tabs>
              <w:rPr>
                <w:sz w:val="18"/>
              </w:rPr>
            </w:pPr>
            <w:r>
              <w:rPr>
                <w:sz w:val="18"/>
              </w:rPr>
            </w:r>
          </w:p>
          <w:p>
            <w:pPr>
              <w:pStyle w:val="Normal"/>
              <w:numPr>
                <w:ilvl w:val="0"/>
                <w:numId w:val="13"/>
              </w:numPr>
              <w:tabs>
                <w:tab w:val="clear" w:pos="720"/>
                <w:tab w:val="left" w:pos="2160" w:leader="none"/>
              </w:tabs>
              <w:rPr>
                <w:sz w:val="18"/>
              </w:rPr>
            </w:pPr>
            <w:r>
              <w:rPr>
                <w:sz w:val="18"/>
              </w:rPr>
              <w:t>For one of the investments reviewed, we noted a discrepancy in the comparable basket provided by CTG and the comparable basket used by RAC for a separate analysis.</w:t>
            </w:r>
          </w:p>
        </w:tc>
        <w:tc>
          <w:tcPr>
            <w:tcW w:w="2970" w:type="dxa"/>
            <w:tcBorders>
              <w:top w:val="single" w:sz="6" w:space="0" w:color="000000"/>
              <w:start w:val="single" w:sz="6" w:space="0" w:color="000000"/>
              <w:bottom w:val="single" w:sz="6" w:space="0" w:color="000000"/>
              <w:end w:val="single" w:sz="6" w:space="0" w:color="000000"/>
            </w:tcBorders>
          </w:tcPr>
          <w:p>
            <w:pPr>
              <w:pStyle w:val="Normal"/>
              <w:numPr>
                <w:ilvl w:val="0"/>
                <w:numId w:val="5"/>
              </w:numPr>
              <w:tabs>
                <w:tab w:val="clear" w:pos="720"/>
                <w:tab w:val="left" w:pos="2160" w:leader="none"/>
              </w:tabs>
              <w:rPr>
                <w:sz w:val="18"/>
              </w:rPr>
            </w:pPr>
            <w:r>
              <w:rPr>
                <w:sz w:val="18"/>
              </w:rPr>
              <w:t xml:space="preserve">CTG and RAC should perform and document a detailed, quarterly review of each comparable company to ensure the comparable companies used in the comparable basket are still applicable. </w:t>
            </w:r>
          </w:p>
          <w:p>
            <w:pPr>
              <w:pStyle w:val="Normal"/>
              <w:tabs>
                <w:tab w:val="clear" w:pos="720"/>
                <w:tab w:val="left" w:pos="2160" w:leader="none"/>
              </w:tabs>
              <w:rPr>
                <w:sz w:val="18"/>
              </w:rPr>
            </w:pPr>
            <w:r>
              <w:rPr>
                <w:sz w:val="18"/>
              </w:rPr>
            </w:r>
          </w:p>
          <w:p>
            <w:pPr>
              <w:pStyle w:val="Normal"/>
              <w:numPr>
                <w:ilvl w:val="0"/>
                <w:numId w:val="5"/>
              </w:numPr>
              <w:tabs>
                <w:tab w:val="clear" w:pos="720"/>
                <w:tab w:val="left" w:pos="2160" w:leader="none"/>
              </w:tabs>
              <w:rPr>
                <w:sz w:val="18"/>
              </w:rPr>
            </w:pPr>
            <w:r>
              <w:rPr>
                <w:sz w:val="18"/>
              </w:rPr>
              <w:t>RAC should ensure that the companies included in the comparable basket are still the most relevant comparable companies</w:t>
            </w:r>
          </w:p>
          <w:p>
            <w:pPr>
              <w:pStyle w:val="Normal"/>
              <w:tabs>
                <w:tab w:val="clear" w:pos="720"/>
                <w:tab w:val="left" w:pos="2160" w:leader="none"/>
              </w:tabs>
              <w:rPr>
                <w:sz w:val="18"/>
              </w:rPr>
            </w:pPr>
            <w:r>
              <w:rPr>
                <w:sz w:val="18"/>
              </w:rPr>
            </w:r>
          </w:p>
        </w:tc>
      </w:tr>
      <w:tr>
        <w:trPr/>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i/>
                <w:i/>
                <w:sz w:val="18"/>
                <w:u w:val="single"/>
              </w:rPr>
            </w:pPr>
            <w:r>
              <w:rPr>
                <w:i/>
                <w:sz w:val="18"/>
                <w:u w:val="single"/>
              </w:rPr>
            </w:r>
          </w:p>
        </w:tc>
        <w:tc>
          <w:tcPr>
            <w:tcW w:w="135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Financial Markets</w:t>
            </w:r>
          </w:p>
        </w:tc>
        <w:tc>
          <w:tcPr>
            <w:tcW w:w="1800" w:type="dxa"/>
            <w:tcBorders>
              <w:top w:val="single" w:sz="6" w:space="0" w:color="000000"/>
              <w:start w:val="single" w:sz="6" w:space="0" w:color="000000"/>
              <w:bottom w:val="single" w:sz="6" w:space="0" w:color="000000"/>
              <w:end w:val="single" w:sz="6" w:space="0" w:color="000000"/>
            </w:tcBorders>
          </w:tcPr>
          <w:p>
            <w:pPr>
              <w:pStyle w:val="Heading3"/>
              <w:ind w:start="0" w:end="0"/>
              <w:rPr>
                <w:i w:val="false"/>
                <w:i w:val="false"/>
                <w:sz w:val="18"/>
              </w:rPr>
            </w:pPr>
            <w:r>
              <w:rPr>
                <w:i w:val="false"/>
                <w:sz w:val="18"/>
              </w:rPr>
              <w:t>Valuation Activities – Model Development, Application and Maintenance (FV)</w:t>
            </w:r>
          </w:p>
        </w:tc>
        <w:tc>
          <w:tcPr>
            <w:tcW w:w="2700" w:type="dxa"/>
            <w:tcBorders>
              <w:top w:val="single" w:sz="6" w:space="0" w:color="000000"/>
              <w:start w:val="single" w:sz="6" w:space="0" w:color="000000"/>
              <w:bottom w:val="single" w:sz="6" w:space="0" w:color="000000"/>
              <w:end w:val="single" w:sz="6" w:space="0" w:color="000000"/>
            </w:tcBorders>
          </w:tcPr>
          <w:p>
            <w:pPr>
              <w:pStyle w:val="Heading3"/>
              <w:ind w:start="0" w:end="0"/>
              <w:rPr>
                <w:i w:val="false"/>
                <w:i w:val="false"/>
                <w:sz w:val="18"/>
              </w:rPr>
            </w:pPr>
            <w:r>
              <w:rPr>
                <w:i w:val="false"/>
                <w:sz w:val="18"/>
              </w:rPr>
              <w:t xml:space="preserve">Information used to calculate comparables is accurate and complete, updated timely and properly safeguarded. </w:t>
            </w:r>
          </w:p>
        </w:tc>
        <w:tc>
          <w:tcPr>
            <w:tcW w:w="135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18"/>
              </w:rPr>
            </w:pPr>
            <w:r>
              <w:rPr>
                <w:sz w:val="18"/>
              </w:rPr>
              <w:t>No</w:t>
            </w:r>
          </w:p>
        </w:tc>
        <w:tc>
          <w:tcPr>
            <w:tcW w:w="2610" w:type="dxa"/>
            <w:tcBorders>
              <w:top w:val="single" w:sz="6" w:space="0" w:color="000000"/>
              <w:start w:val="single" w:sz="6" w:space="0" w:color="000000"/>
              <w:bottom w:val="single" w:sz="6" w:space="0" w:color="000000"/>
              <w:end w:val="single" w:sz="6" w:space="0" w:color="000000"/>
            </w:tcBorders>
          </w:tcPr>
          <w:p>
            <w:pPr>
              <w:pStyle w:val="Normal"/>
              <w:numPr>
                <w:ilvl w:val="0"/>
                <w:numId w:val="15"/>
              </w:numPr>
              <w:tabs>
                <w:tab w:val="clear" w:pos="720"/>
                <w:tab w:val="left" w:pos="2160" w:leader="none"/>
              </w:tabs>
              <w:rPr>
                <w:sz w:val="18"/>
              </w:rPr>
            </w:pPr>
            <w:r>
              <w:rPr>
                <w:sz w:val="18"/>
              </w:rPr>
              <w:t>None.</w:t>
            </w:r>
          </w:p>
        </w:tc>
        <w:tc>
          <w:tcPr>
            <w:tcW w:w="3870" w:type="dxa"/>
            <w:tcBorders>
              <w:top w:val="single" w:sz="6" w:space="0" w:color="000000"/>
              <w:start w:val="single" w:sz="6" w:space="0" w:color="000000"/>
              <w:bottom w:val="single" w:sz="6" w:space="0" w:color="000000"/>
              <w:end w:val="single" w:sz="6" w:space="0" w:color="000000"/>
            </w:tcBorders>
          </w:tcPr>
          <w:p>
            <w:pPr>
              <w:pStyle w:val="Normal"/>
              <w:numPr>
                <w:ilvl w:val="0"/>
                <w:numId w:val="13"/>
              </w:numPr>
              <w:tabs>
                <w:tab w:val="clear" w:pos="720"/>
                <w:tab w:val="left" w:pos="2160" w:leader="none"/>
              </w:tabs>
              <w:rPr>
                <w:sz w:val="18"/>
              </w:rPr>
            </w:pPr>
            <w:r>
              <w:rPr>
                <w:sz w:val="18"/>
              </w:rPr>
              <w:t>Information used to derive and update comparable baskets by CTG is contained in a number of Excel spreadsheets (Factset Prices, IBIT Cal, Multiples Reval and the E&amp;P Database) which are not password protected.</w:t>
            </w:r>
          </w:p>
          <w:p>
            <w:pPr>
              <w:pStyle w:val="Normal"/>
              <w:tabs>
                <w:tab w:val="clear" w:pos="720"/>
                <w:tab w:val="left" w:pos="2160" w:leader="none"/>
              </w:tabs>
              <w:rPr>
                <w:sz w:val="18"/>
              </w:rPr>
            </w:pPr>
            <w:r>
              <w:rPr>
                <w:sz w:val="18"/>
              </w:rPr>
            </w:r>
          </w:p>
          <w:p>
            <w:pPr>
              <w:pStyle w:val="Normal"/>
              <w:tabs>
                <w:tab w:val="clear" w:pos="720"/>
                <w:tab w:val="left" w:pos="2160" w:leader="none"/>
              </w:tabs>
              <w:rPr>
                <w:sz w:val="18"/>
              </w:rPr>
            </w:pPr>
            <w:r>
              <w:rPr>
                <w:sz w:val="18"/>
              </w:rPr>
            </w:r>
          </w:p>
          <w:p>
            <w:pPr>
              <w:pStyle w:val="Normal"/>
              <w:numPr>
                <w:ilvl w:val="0"/>
                <w:numId w:val="13"/>
              </w:numPr>
              <w:tabs>
                <w:tab w:val="clear" w:pos="720"/>
                <w:tab w:val="left" w:pos="2160" w:leader="none"/>
              </w:tabs>
              <w:rPr>
                <w:sz w:val="18"/>
              </w:rPr>
            </w:pPr>
            <w:r>
              <w:rPr>
                <w:sz w:val="18"/>
              </w:rPr>
              <w:t>The retrieval of information to populate Excel spreadsheets used to derive and update comparable baskets by CTG includes excess information (i.e., information on companies that are no longer included in comparable baskets as well as information not used in determining quarterly multiples).</w:t>
            </w:r>
          </w:p>
          <w:p>
            <w:pPr>
              <w:pStyle w:val="Normal"/>
              <w:tabs>
                <w:tab w:val="clear" w:pos="720"/>
                <w:tab w:val="left" w:pos="2160" w:leader="none"/>
              </w:tabs>
              <w:rPr>
                <w:sz w:val="18"/>
              </w:rPr>
            </w:pPr>
            <w:r>
              <w:rPr>
                <w:sz w:val="18"/>
              </w:rPr>
            </w:r>
          </w:p>
          <w:p>
            <w:pPr>
              <w:pStyle w:val="Normal"/>
              <w:tabs>
                <w:tab w:val="clear" w:pos="720"/>
                <w:tab w:val="left" w:pos="2160" w:leader="none"/>
              </w:tabs>
              <w:rPr>
                <w:sz w:val="18"/>
              </w:rPr>
            </w:pPr>
            <w:r>
              <w:rPr>
                <w:sz w:val="18"/>
              </w:rPr>
            </w:r>
          </w:p>
          <w:p>
            <w:pPr>
              <w:pStyle w:val="Normal"/>
              <w:numPr>
                <w:ilvl w:val="0"/>
                <w:numId w:val="14"/>
              </w:numPr>
              <w:tabs>
                <w:tab w:val="clear" w:pos="720"/>
                <w:tab w:val="left" w:pos="2160" w:leader="none"/>
              </w:tabs>
              <w:rPr>
                <w:sz w:val="18"/>
              </w:rPr>
            </w:pPr>
            <w:r>
              <w:rPr>
                <w:sz w:val="18"/>
              </w:rPr>
              <w:t>Based on our review, there were discrepancies between the information used to calculate the comparable basket during the quarterly revaluation process and the corresponding source data (i.e. SEC Filings).</w:t>
            </w:r>
          </w:p>
          <w:p>
            <w:pPr>
              <w:pStyle w:val="Normal"/>
              <w:tabs>
                <w:tab w:val="clear" w:pos="720"/>
                <w:tab w:val="left" w:pos="2160" w:leader="none"/>
              </w:tabs>
              <w:rPr>
                <w:sz w:val="18"/>
              </w:rPr>
            </w:pPr>
            <w:r>
              <w:rPr>
                <w:sz w:val="18"/>
              </w:rPr>
            </w:r>
          </w:p>
        </w:tc>
        <w:tc>
          <w:tcPr>
            <w:tcW w:w="2970" w:type="dxa"/>
            <w:tcBorders>
              <w:top w:val="single" w:sz="6" w:space="0" w:color="000000"/>
              <w:start w:val="single" w:sz="6" w:space="0" w:color="000000"/>
              <w:bottom w:val="single" w:sz="6" w:space="0" w:color="000000"/>
              <w:end w:val="single" w:sz="6" w:space="0" w:color="000000"/>
            </w:tcBorders>
          </w:tcPr>
          <w:p>
            <w:pPr>
              <w:pStyle w:val="Normal"/>
              <w:numPr>
                <w:ilvl w:val="0"/>
                <w:numId w:val="11"/>
              </w:numPr>
              <w:tabs>
                <w:tab w:val="clear" w:pos="720"/>
                <w:tab w:val="left" w:pos="2160" w:leader="none"/>
              </w:tabs>
              <w:rPr>
                <w:sz w:val="18"/>
              </w:rPr>
            </w:pPr>
            <w:r>
              <w:rPr>
                <w:sz w:val="18"/>
              </w:rPr>
              <w:t>To mitigate the risk of unauthorized access to the sensitive information contained within these databases, CTG should implement password protection.</w:t>
            </w:r>
          </w:p>
          <w:p>
            <w:pPr>
              <w:pStyle w:val="Normal"/>
              <w:tabs>
                <w:tab w:val="clear" w:pos="720"/>
                <w:tab w:val="left" w:pos="2160" w:leader="none"/>
              </w:tabs>
              <w:rPr>
                <w:sz w:val="18"/>
              </w:rPr>
            </w:pPr>
            <w:r>
              <w:rPr>
                <w:sz w:val="18"/>
              </w:rPr>
            </w:r>
          </w:p>
          <w:p>
            <w:pPr>
              <w:pStyle w:val="Normal"/>
              <w:numPr>
                <w:ilvl w:val="0"/>
                <w:numId w:val="6"/>
              </w:numPr>
              <w:tabs>
                <w:tab w:val="clear" w:pos="720"/>
                <w:tab w:val="left" w:pos="2160" w:leader="none"/>
              </w:tabs>
              <w:rPr>
                <w:sz w:val="18"/>
              </w:rPr>
            </w:pPr>
            <w:r>
              <w:rPr>
                <w:sz w:val="18"/>
              </w:rPr>
              <w:t>To reduce the risk of calculating the comparable baskets with improper data and to increase efficiency, CTG should delete all information related to companies that do not pertain to the current comparable baskets.</w:t>
            </w:r>
          </w:p>
          <w:p>
            <w:pPr>
              <w:pStyle w:val="Normal"/>
              <w:tabs>
                <w:tab w:val="clear" w:pos="720"/>
                <w:tab w:val="left" w:pos="2160" w:leader="none"/>
              </w:tabs>
              <w:rPr>
                <w:sz w:val="18"/>
              </w:rPr>
            </w:pPr>
            <w:r>
              <w:rPr>
                <w:sz w:val="18"/>
              </w:rPr>
            </w:r>
          </w:p>
          <w:p>
            <w:pPr>
              <w:pStyle w:val="Normal"/>
              <w:numPr>
                <w:ilvl w:val="0"/>
                <w:numId w:val="8"/>
              </w:numPr>
              <w:tabs>
                <w:tab w:val="clear" w:pos="720"/>
                <w:tab w:val="left" w:pos="2160" w:leader="none"/>
              </w:tabs>
              <w:rPr>
                <w:sz w:val="18"/>
              </w:rPr>
            </w:pPr>
            <w:r>
              <w:rPr>
                <w:sz w:val="18"/>
              </w:rPr>
              <w:t>Documentation should be maintained by CTG and RAC to support the information used in calculating the comparable basket.</w:t>
            </w:r>
          </w:p>
        </w:tc>
      </w:tr>
      <w:tr>
        <w:trPr/>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i/>
                <w:i/>
                <w:sz w:val="18"/>
                <w:u w:val="single"/>
              </w:rPr>
            </w:pPr>
            <w:r>
              <w:rPr>
                <w:i/>
                <w:sz w:val="18"/>
                <w:u w:val="single"/>
              </w:rPr>
            </w:r>
          </w:p>
        </w:tc>
        <w:tc>
          <w:tcPr>
            <w:tcW w:w="135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Financial Markets</w:t>
            </w:r>
          </w:p>
        </w:tc>
        <w:tc>
          <w:tcPr>
            <w:tcW w:w="1800" w:type="dxa"/>
            <w:tcBorders>
              <w:top w:val="single" w:sz="6" w:space="0" w:color="000000"/>
              <w:start w:val="single" w:sz="6" w:space="0" w:color="000000"/>
              <w:bottom w:val="single" w:sz="6" w:space="0" w:color="000000"/>
              <w:end w:val="single" w:sz="6" w:space="0" w:color="000000"/>
            </w:tcBorders>
          </w:tcPr>
          <w:p>
            <w:pPr>
              <w:pStyle w:val="Heading3"/>
              <w:ind w:start="0" w:end="0"/>
              <w:rPr>
                <w:i w:val="false"/>
                <w:i w:val="false"/>
                <w:sz w:val="18"/>
              </w:rPr>
            </w:pPr>
            <w:r>
              <w:rPr>
                <w:i w:val="false"/>
                <w:sz w:val="18"/>
              </w:rPr>
              <w:t>Valuation Activities – Model Development, Application and Maintenance (FV)</w:t>
            </w:r>
          </w:p>
        </w:tc>
        <w:tc>
          <w:tcPr>
            <w:tcW w:w="2700" w:type="dxa"/>
            <w:tcBorders>
              <w:top w:val="single" w:sz="6" w:space="0" w:color="000000"/>
              <w:start w:val="single" w:sz="6" w:space="0" w:color="000000"/>
              <w:bottom w:val="single" w:sz="6" w:space="0" w:color="000000"/>
              <w:end w:val="single" w:sz="6" w:space="0" w:color="000000"/>
            </w:tcBorders>
          </w:tcPr>
          <w:p>
            <w:pPr>
              <w:pStyle w:val="Heading3"/>
              <w:ind w:start="0" w:end="0"/>
              <w:rPr>
                <w:i w:val="false"/>
                <w:i w:val="false"/>
                <w:sz w:val="18"/>
              </w:rPr>
            </w:pPr>
            <w:r>
              <w:rPr>
                <w:i w:val="false"/>
                <w:sz w:val="18"/>
              </w:rPr>
              <w:t>Approval of the comparable basket is documented during deal execution and investment revaluation.</w:t>
            </w:r>
          </w:p>
        </w:tc>
        <w:tc>
          <w:tcPr>
            <w:tcW w:w="135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18"/>
              </w:rPr>
            </w:pPr>
            <w:r>
              <w:rPr>
                <w:sz w:val="18"/>
              </w:rPr>
              <w:t>Yes</w:t>
            </w:r>
          </w:p>
        </w:tc>
        <w:tc>
          <w:tcPr>
            <w:tcW w:w="2610" w:type="dxa"/>
            <w:tcBorders>
              <w:top w:val="single" w:sz="6" w:space="0" w:color="000000"/>
              <w:start w:val="single" w:sz="6" w:space="0" w:color="000000"/>
              <w:bottom w:val="single" w:sz="6" w:space="0" w:color="000000"/>
              <w:end w:val="single" w:sz="6" w:space="0" w:color="000000"/>
            </w:tcBorders>
          </w:tcPr>
          <w:p>
            <w:pPr>
              <w:pStyle w:val="Normal"/>
              <w:numPr>
                <w:ilvl w:val="0"/>
                <w:numId w:val="16"/>
              </w:numPr>
              <w:tabs>
                <w:tab w:val="clear" w:pos="720"/>
                <w:tab w:val="left" w:pos="162" w:leader="none"/>
                <w:tab w:val="left" w:pos="2160" w:leader="none"/>
              </w:tabs>
              <w:ind w:hanging="162" w:start="162" w:end="0"/>
              <w:rPr>
                <w:sz w:val="18"/>
              </w:rPr>
            </w:pPr>
            <w:r>
              <w:rPr>
                <w:sz w:val="18"/>
              </w:rPr>
              <w:t>Management signatures on the DASH and RASH provide implicit approval.</w:t>
            </w:r>
          </w:p>
        </w:tc>
        <w:tc>
          <w:tcPr>
            <w:tcW w:w="3870" w:type="dxa"/>
            <w:tcBorders>
              <w:top w:val="single" w:sz="6" w:space="0" w:color="000000"/>
              <w:start w:val="single" w:sz="6" w:space="0" w:color="000000"/>
              <w:bottom w:val="single" w:sz="6" w:space="0" w:color="000000"/>
              <w:end w:val="single" w:sz="6" w:space="0" w:color="000000"/>
            </w:tcBorders>
          </w:tcPr>
          <w:p>
            <w:pPr>
              <w:pStyle w:val="Normal"/>
              <w:numPr>
                <w:ilvl w:val="0"/>
                <w:numId w:val="12"/>
              </w:numPr>
              <w:tabs>
                <w:tab w:val="clear" w:pos="720"/>
                <w:tab w:val="left" w:pos="2160" w:leader="none"/>
              </w:tabs>
              <w:rPr>
                <w:sz w:val="18"/>
              </w:rPr>
            </w:pPr>
            <w:r>
              <w:rPr>
                <w:sz w:val="18"/>
              </w:rPr>
              <w:t>None.</w:t>
            </w:r>
          </w:p>
        </w:tc>
        <w:tc>
          <w:tcPr>
            <w:tcW w:w="297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160" w:leader="none"/>
              </w:tabs>
              <w:rPr>
                <w:sz w:val="18"/>
              </w:rPr>
            </w:pPr>
            <w:r>
              <w:rPr>
                <w:sz w:val="18"/>
              </w:rPr>
              <w:t>None.</w:t>
            </w:r>
          </w:p>
        </w:tc>
      </w:tr>
    </w:tbl>
    <w:p>
      <w:pPr>
        <w:pStyle w:val="Normal"/>
        <w:rPr/>
      </w:pPr>
      <w:r>
        <w:rPr/>
      </w:r>
    </w:p>
    <w:sectPr>
      <w:headerReference w:type="default" r:id="rId2"/>
      <w:footerReference w:type="default" r:id="rId3"/>
      <w:type w:val="nextPage"/>
      <w:pgSz w:orient="landscape" w:w="20160" w:h="12240"/>
      <w:pgMar w:left="1440" w:right="1440" w:gutter="0" w:header="720" w:top="1800"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048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06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5pt;height:12.65pt;mso-wrap-distance-left:0pt;mso-wrap-distance-right:0pt;mso-wrap-distance-top:0pt;mso-wrap-distance-bottom:0pt;margin-top:0.05pt;mso-position-vertical-relative:text;margin-left:858.4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4"/>
      </w:rPr>
    </w:pPr>
    <w:r>
      <w:rPr>
        <w:b/>
        <w:sz w:val="24"/>
      </w:rPr>
      <w:t>Enron North America – Equity Comparables</w:t>
    </w:r>
  </w:p>
  <w:p>
    <w:pPr>
      <w:pStyle w:val="Header"/>
      <w:jc w:val="center"/>
      <w:rPr>
        <w:b/>
        <w:sz w:val="24"/>
      </w:rPr>
    </w:pPr>
    <w:r>
      <w:rPr>
        <w:b/>
        <w:sz w:val="24"/>
      </w:rPr>
      <w:t>Business Risk Management (BRM) Project Reporting Format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lowerLetter"/>
      <w:lvlText w:val="(%1)"/>
      <w:lvlJc w:val="start"/>
      <w:pPr>
        <w:tabs>
          <w:tab w:val="num" w:pos="283"/>
        </w:tabs>
        <w:ind w:start="283" w:hanging="283"/>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283"/>
        </w:tabs>
        <w:ind w:start="283" w:hanging="283"/>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283"/>
        </w:tabs>
        <w:ind w:start="283" w:hanging="283"/>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 w:hAnsi="Book Antiqua" w:eastAsia="Times New Roman" w:cs="Book Antiqua"/>
      <w:color w:val="auto"/>
      <w:sz w:val="22"/>
      <w:szCs w:val="20"/>
      <w:lang w:val="en-US" w:eastAsia="zh-CN" w:bidi="hi-IN"/>
    </w:rPr>
  </w:style>
  <w:style w:type="paragraph" w:styleId="Heading1">
    <w:name w:val="heading 1"/>
    <w:basedOn w:val="Normal"/>
    <w:next w:val="Normal"/>
    <w:qFormat/>
    <w:pPr>
      <w:keepNext w:val="true"/>
      <w:numPr>
        <w:ilvl w:val="0"/>
        <w:numId w:val="1"/>
      </w:numPr>
      <w:outlineLvl w:val="0"/>
    </w:pPr>
    <w:rPr>
      <w:i/>
      <w:lang w:eastAsia="en-US"/>
    </w:rPr>
  </w:style>
  <w:style w:type="paragraph" w:styleId="Heading2">
    <w:name w:val="heading 2"/>
    <w:basedOn w:val="Normal"/>
    <w:next w:val="Normal"/>
    <w:qFormat/>
    <w:pPr>
      <w:keepNext w:val="true"/>
      <w:numPr>
        <w:ilvl w:val="1"/>
        <w:numId w:val="1"/>
      </w:numPr>
      <w:outlineLvl w:val="1"/>
    </w:pPr>
    <w:rPr>
      <w:b/>
      <w:sz w:val="24"/>
      <w:lang w:eastAsia="en-US"/>
    </w:rPr>
  </w:style>
  <w:style w:type="paragraph" w:styleId="Heading3">
    <w:name w:val="heading 3"/>
    <w:basedOn w:val="Normal"/>
    <w:next w:val="Normal"/>
    <w:qFormat/>
    <w:pPr>
      <w:keepNext w:val="true"/>
      <w:numPr>
        <w:ilvl w:val="2"/>
        <w:numId w:val="1"/>
      </w:numPr>
      <w:ind w:hanging="0" w:start="720" w:end="0"/>
      <w:outlineLvl w:val="2"/>
    </w:pPr>
    <w:rPr>
      <w:i/>
      <w:lang w:eastAsia="en-US"/>
    </w:rPr>
  </w:style>
  <w:style w:type="paragraph" w:styleId="Heading4">
    <w:name w:val="heading 4"/>
    <w:basedOn w:val="Normal"/>
    <w:next w:val="Normal"/>
    <w:qFormat/>
    <w:pPr>
      <w:keepNext w:val="true"/>
      <w:numPr>
        <w:ilvl w:val="3"/>
        <w:numId w:val="1"/>
      </w:numPr>
      <w:outlineLvl w:val="3"/>
    </w:pPr>
    <w:rPr>
      <w:b/>
      <w:lang w:eastAsia="en-US"/>
    </w:rPr>
  </w:style>
  <w:style w:type="paragraph" w:styleId="Heading5">
    <w:name w:val="heading 5"/>
    <w:basedOn w:val="Normal"/>
    <w:next w:val="Normal"/>
    <w:qFormat/>
    <w:pPr>
      <w:keepNext w:val="true"/>
      <w:widowControl w:val="false"/>
      <w:numPr>
        <w:ilvl w:val="4"/>
        <w:numId w:val="1"/>
      </w:numPr>
      <w:outlineLvl w:val="4"/>
    </w:pPr>
    <w:rPr>
      <w:b/>
      <w:i/>
      <w:sz w:val="28"/>
      <w:lang w:eastAsia="en-US"/>
    </w:rPr>
  </w:style>
  <w:style w:type="paragraph" w:styleId="Heading8">
    <w:name w:val="heading 8"/>
    <w:basedOn w:val="Normal"/>
    <w:next w:val="Normal"/>
    <w:qFormat/>
    <w:pPr>
      <w:keepNext w:val="true"/>
      <w:numPr>
        <w:ilvl w:val="7"/>
        <w:numId w:val="1"/>
      </w:numPr>
      <w:tabs>
        <w:tab w:val="clear" w:pos="720"/>
        <w:tab w:val="left" w:pos="2160" w:leader="none"/>
      </w:tabs>
      <w:ind w:hanging="0" w:start="1440" w:end="0"/>
      <w:outlineLvl w:val="7"/>
    </w:pPr>
    <w:rPr>
      <w:i/>
      <w:sz w:val="20"/>
      <w:lang w:eastAsia="en-U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sz w:val="18"/>
    </w:rPr>
  </w:style>
  <w:style w:type="character" w:styleId="WW8Num8z0">
    <w:name w:val="WW8Num8z0"/>
    <w:qFormat/>
    <w:rPr>
      <w:rFonts w:ascii="Symbol" w:hAnsi="Symbol" w:cs="Symbol"/>
      <w:sz w:val="18"/>
    </w:rPr>
  </w:style>
  <w:style w:type="character" w:styleId="WW8Num9z0">
    <w:name w:val="WW8Num9z0"/>
    <w:qFormat/>
    <w:rPr>
      <w:rFonts w:ascii="Book Antiqua" w:hAnsi="Book Antiqua" w:cs="Book Antiqua"/>
      <w:sz w:val="18"/>
    </w:rPr>
  </w:style>
  <w:style w:type="character" w:styleId="WW8Num10z0">
    <w:name w:val="WW8Num10z0"/>
    <w:qFormat/>
    <w:rPr>
      <w:rFonts w:ascii="Symbol" w:hAnsi="Symbol" w:cs="Symbol"/>
      <w:sz w:val="18"/>
    </w:rPr>
  </w:style>
  <w:style w:type="character" w:styleId="WW8Num11z0">
    <w:name w:val="WW8Num11z0"/>
    <w:qFormat/>
    <w:rPr>
      <w:rFonts w:ascii="Symbol" w:hAnsi="Symbol" w:cs="Symbol"/>
    </w:rPr>
  </w:style>
  <w:style w:type="character" w:styleId="WW8Num12z0">
    <w:name w:val="WW8Num12z0"/>
    <w:qFormat/>
    <w:rPr>
      <w:rFonts w:ascii="Book Antiqua" w:hAnsi="Book Antiqua" w:cs="Book Antiqua"/>
      <w:sz w:val="18"/>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6z0">
    <w:name w:val="WW8Num16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sz w:val="18"/>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sz w:val="18"/>
    </w:rPr>
  </w:style>
  <w:style w:type="character" w:styleId="WW8Num32z0">
    <w:name w:val="WW8Num32z0"/>
    <w:qFormat/>
    <w:rPr>
      <w:rFonts w:ascii="Symbol" w:hAnsi="Symbol" w:cs="Symbol"/>
    </w:rPr>
  </w:style>
  <w:style w:type="character" w:styleId="WW8Num33z0">
    <w:name w:val="WW8Num33z0"/>
    <w:qFormat/>
    <w:rPr>
      <w:rFonts w:ascii="Book Antiqua" w:hAnsi="Book Antiqua" w:cs="Book Antiqua"/>
      <w:sz w:val="18"/>
    </w:rPr>
  </w:style>
  <w:style w:type="character" w:styleId="WW8Num35z0">
    <w:name w:val="WW8Num35z0"/>
    <w:qFormat/>
    <w:rPr>
      <w:rFonts w:ascii="Symbol" w:hAnsi="Symbol" w:cs="Symbol"/>
    </w:rPr>
  </w:style>
  <w:style w:type="character" w:styleId="WW8Num36z0">
    <w:name w:val="WW8Num36z0"/>
    <w:qFormat/>
    <w:rPr>
      <w:rFonts w:ascii="Symbol" w:hAnsi="Symbol" w:cs="Symbol"/>
      <w:color w:val="auto"/>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sz w:val="18"/>
    </w:rPr>
  </w:style>
  <w:style w:type="character" w:styleId="WW8Num42z0">
    <w:name w:val="WW8Num42z0"/>
    <w:qFormat/>
    <w:rPr>
      <w:rFonts w:ascii="Book Antiqua" w:hAnsi="Book Antiqua" w:cs="Book Antiqua"/>
      <w:sz w:val="18"/>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sz w:val="18"/>
    </w:rPr>
  </w:style>
  <w:style w:type="character" w:styleId="WW8Num52z0">
    <w:name w:val="WW8Num52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sz w:val="18"/>
    </w:rPr>
  </w:style>
  <w:style w:type="character" w:styleId="WW8Num59z0">
    <w:name w:val="WW8Num59z0"/>
    <w:qFormat/>
    <w:rPr>
      <w:rFonts w:ascii="Symbol" w:hAnsi="Symbol" w:cs="Symbol"/>
    </w:rPr>
  </w:style>
  <w:style w:type="character" w:styleId="WW8Num60z0">
    <w:name w:val="WW8Num60z0"/>
    <w:qFormat/>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sz w:val="18"/>
    </w:rPr>
  </w:style>
  <w:style w:type="character" w:styleId="WW8Num65z0">
    <w:name w:val="WW8Num65z0"/>
    <w:qFormat/>
    <w:rPr>
      <w:rFonts w:ascii="Symbol" w:hAnsi="Symbol" w:cs="Symbol"/>
      <w:sz w:val="18"/>
    </w:rPr>
  </w:style>
  <w:style w:type="character" w:styleId="WW8Num66z0">
    <w:name w:val="WW8Num66z0"/>
    <w:qFormat/>
    <w:rPr>
      <w:rFonts w:ascii="Symbol" w:hAnsi="Symbol" w:cs="Symbol"/>
    </w:rPr>
  </w:style>
  <w:style w:type="character" w:styleId="WW8Num68z0">
    <w:name w:val="WW8Num68z0"/>
    <w:qFormat/>
    <w:rPr>
      <w:rFonts w:ascii="Symbol" w:hAnsi="Symbol" w:cs="Symbol"/>
      <w:sz w:val="18"/>
    </w:rPr>
  </w:style>
  <w:style w:type="character" w:styleId="WW8Num69z0">
    <w:name w:val="WW8Num69z0"/>
    <w:qFormat/>
    <w:rPr>
      <w:rFonts w:ascii="Symbol" w:hAnsi="Symbol" w:cs="Symbol"/>
    </w:rPr>
  </w:style>
  <w:style w:type="character" w:styleId="WW8Num70z0">
    <w:name w:val="WW8Num70z0"/>
    <w:qFormat/>
    <w:rPr>
      <w:rFonts w:ascii="Symbol" w:hAnsi="Symbol" w:cs="Symbol"/>
      <w:sz w:val="18"/>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sz w:val="18"/>
    </w:rPr>
  </w:style>
  <w:style w:type="character" w:styleId="WW8Num76z0">
    <w:name w:val="WW8Num76z0"/>
    <w:qFormat/>
    <w:rPr>
      <w:rFonts w:ascii="Symbol" w:hAnsi="Symbol" w:cs="Symbol"/>
      <w:sz w:val="16"/>
    </w:rPr>
  </w:style>
  <w:style w:type="character" w:styleId="WW8Num77z0">
    <w:name w:val="WW8Num77z0"/>
    <w:qFormat/>
    <w:rPr>
      <w:rFonts w:ascii="Symbol" w:hAnsi="Symbol" w:cs="Symbol"/>
    </w:rPr>
  </w:style>
  <w:style w:type="character" w:styleId="WW8Num79z0">
    <w:name w:val="WW8Num79z0"/>
    <w:qFormat/>
    <w:rPr>
      <w:rFonts w:ascii="Symbol" w:hAnsi="Symbol" w:cs="Symbol"/>
      <w:sz w:val="18"/>
    </w:rPr>
  </w:style>
  <w:style w:type="character" w:styleId="WW8Num80z0">
    <w:name w:val="WW8Num80z0"/>
    <w:qFormat/>
    <w:rPr>
      <w:rFonts w:ascii="Symbol" w:hAnsi="Symbol" w:cs="Symbol"/>
    </w:rPr>
  </w:style>
  <w:style w:type="character" w:styleId="WW8Num81z0">
    <w:name w:val="WW8Num81z0"/>
    <w:qFormat/>
    <w:rPr>
      <w:rFonts w:ascii="Symbol" w:hAnsi="Symbol" w:cs="Symbol"/>
      <w:sz w:val="16"/>
    </w:rPr>
  </w:style>
  <w:style w:type="character" w:styleId="WW8Num82z0">
    <w:name w:val="WW8Num82z0"/>
    <w:qFormat/>
    <w:rPr>
      <w:rFonts w:ascii="Symbol" w:hAnsi="Symbol" w:cs="Symbol"/>
    </w:rPr>
  </w:style>
  <w:style w:type="character" w:styleId="WW8Num83z0">
    <w:name w:val="WW8Num83z0"/>
    <w:qFormat/>
    <w:rPr>
      <w:rFonts w:ascii="Symbol" w:hAnsi="Symbol" w:cs="Symbol"/>
      <w:sz w:val="18"/>
    </w:rPr>
  </w:style>
  <w:style w:type="character" w:styleId="WW8Num84z0">
    <w:name w:val="WW8Num84z0"/>
    <w:qFormat/>
    <w:rPr>
      <w:rFonts w:ascii="Symbol" w:hAnsi="Symbol" w:cs="Symbol"/>
    </w:rPr>
  </w:style>
  <w:style w:type="character" w:styleId="WW8Num86z0">
    <w:name w:val="WW8Num86z0"/>
    <w:qFormat/>
    <w:rPr>
      <w:rFonts w:ascii="Book Antiqua" w:hAnsi="Book Antiqua" w:cs="Book Antiqua"/>
      <w:sz w:val="18"/>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sz w:val="18"/>
    </w:rPr>
  </w:style>
  <w:style w:type="character" w:styleId="WW8Num100z0">
    <w:name w:val="WW8Num100z0"/>
    <w:qFormat/>
    <w:rPr>
      <w:rFonts w:ascii="Symbol" w:hAnsi="Symbol" w:cs="Symbol"/>
      <w:sz w:val="18"/>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style>
  <w:style w:type="character" w:styleId="WW8Num107z0">
    <w:name w:val="WW8Num107z0"/>
    <w:qFormat/>
    <w:rPr>
      <w:rFonts w:ascii="Symbol" w:hAnsi="Symbol" w:cs="Symbol"/>
    </w:rPr>
  </w:style>
  <w:style w:type="character" w:styleId="WW8Num108z0">
    <w:name w:val="WW8Num108z0"/>
    <w:qFormat/>
    <w:rPr>
      <w:rFonts w:ascii="Symbol" w:hAnsi="Symbol" w:cs="Symbol"/>
      <w:sz w:val="18"/>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sz w:val="18"/>
    </w:rPr>
  </w:style>
  <w:style w:type="character" w:styleId="WW8Num112z0">
    <w:name w:val="WW8Num112z0"/>
    <w:qFormat/>
    <w:rPr>
      <w:rFonts w:ascii="Symbol" w:hAnsi="Symbol" w:cs="Symbol"/>
      <w:sz w:val="18"/>
    </w:rPr>
  </w:style>
  <w:style w:type="character" w:styleId="WW8Num113z0">
    <w:name w:val="WW8Num113z0"/>
    <w:qFormat/>
    <w:rPr>
      <w:rFonts w:ascii="Symbol" w:hAnsi="Symbol" w:cs="Symbol"/>
      <w:sz w:val="18"/>
    </w:rPr>
  </w:style>
  <w:style w:type="character" w:styleId="WW8Num114z0">
    <w:name w:val="WW8Num114z0"/>
    <w:qFormat/>
    <w:rPr>
      <w:rFonts w:ascii="Symbol" w:hAnsi="Symbol" w:cs="Symbol"/>
      <w:color w:val="auto"/>
    </w:rPr>
  </w:style>
  <w:style w:type="character" w:styleId="WW8Num115z0">
    <w:name w:val="WW8Num115z0"/>
    <w:qFormat/>
    <w:rPr>
      <w:rFonts w:ascii="Book Antiqua" w:hAnsi="Book Antiqua" w:cs="Book Antiqua"/>
      <w:sz w:val="18"/>
    </w:rPr>
  </w:style>
  <w:style w:type="character" w:styleId="WW8Num116z0">
    <w:name w:val="WW8Num116z0"/>
    <w:qFormat/>
    <w:rPr>
      <w:rFonts w:ascii="Symbol" w:hAnsi="Symbol" w:cs="Symbol"/>
    </w:rPr>
  </w:style>
  <w:style w:type="character" w:styleId="WW8Num117z0">
    <w:name w:val="WW8Num117z0"/>
    <w:qFormat/>
    <w:rPr>
      <w:rFonts w:ascii="Symbol" w:hAnsi="Symbol" w:cs="Symbol"/>
      <w:sz w:val="18"/>
    </w:rPr>
  </w:style>
  <w:style w:type="character" w:styleId="WW8Num118z0">
    <w:name w:val="WW8Num118z0"/>
    <w:qFormat/>
    <w:rPr>
      <w:rFonts w:ascii="Symbol" w:hAnsi="Symbol" w:cs="Symbol"/>
    </w:rPr>
  </w:style>
  <w:style w:type="character" w:styleId="WW8Num119z0">
    <w:name w:val="WW8Num119z0"/>
    <w:qFormat/>
    <w:rPr>
      <w:rFonts w:ascii="Symbol" w:hAnsi="Symbol" w:cs="Symbol"/>
      <w:sz w:val="18"/>
    </w:rPr>
  </w:style>
  <w:style w:type="character" w:styleId="WW8Num120z0">
    <w:name w:val="WW8Num120z0"/>
    <w:qFormat/>
    <w:rPr>
      <w:rFonts w:ascii="Symbol" w:hAnsi="Symbol" w:cs="Symbol"/>
    </w:rPr>
  </w:style>
  <w:style w:type="character" w:styleId="WW8Num121z0">
    <w:name w:val="WW8Num121z0"/>
    <w:qFormat/>
    <w:rPr>
      <w:rFonts w:ascii="Symbol" w:hAnsi="Symbol" w:cs="Symbol"/>
      <w:sz w:val="16"/>
    </w:rPr>
  </w:style>
  <w:style w:type="character" w:styleId="WW8Num122z0">
    <w:name w:val="WW8Num122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sz w:val="18"/>
    </w:rPr>
  </w:style>
  <w:style w:type="character" w:styleId="WW8NumSt1z0">
    <w:name w:val="WW8NumSt1z0"/>
    <w:qFormat/>
    <w:rPr>
      <w:rFonts w:ascii="Symbol" w:hAnsi="Symbol" w:cs="Symbol"/>
    </w:rPr>
  </w:style>
  <w:style w:type="character" w:styleId="WW8NumSt2z0">
    <w:name w:val="WW8NumSt2z0"/>
    <w:qFormat/>
    <w:rPr>
      <w:rFonts w:ascii="Book Antiqua" w:hAnsi="Book Antiqua" w:cs="Book Antiqua"/>
      <w:sz w:val="18"/>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sz w:val="18"/>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bidi w:val="0"/>
    </w:pPr>
    <w:rPr>
      <w:rFonts w:ascii="Book Antiqua" w:hAnsi="Book Antiqua" w:eastAsia="Times New Roman" w:cs="Book Antiqua"/>
      <w:color w:val="auto"/>
      <w:sz w:val="16"/>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AIOCNORMAL">
    <w:name w:val="AIOC NORMAL"/>
    <w:basedOn w:val="Normal"/>
    <w:qFormat/>
    <w:pPr>
      <w:tabs>
        <w:tab w:val="clear" w:pos="720"/>
        <w:tab w:val="left" w:pos="1440" w:leader="none"/>
      </w:tabs>
    </w:pPr>
    <w:rPr/>
  </w:style>
  <w:style w:type="paragraph" w:styleId="BodyText3">
    <w:name w:val="Body Text 3"/>
    <w:basedOn w:val="Normal"/>
    <w:qFormat/>
    <w:pPr/>
    <w:rPr>
      <w:i/>
      <w:sz w:val="18"/>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2000-08-28T11:32:00Z</dcterms:created>
  <dc:creator>donnelcc</dc:creator>
  <dc:description/>
  <dc:language>en-CA</dc:language>
  <cp:lastModifiedBy>Arthur Andersen</cp:lastModifiedBy>
  <cp:lastPrinted>2000-06-21T11:02:00Z</cp:lastPrinted>
  <dcterms:modified xsi:type="dcterms:W3CDTF">2000-08-28T11:32:00Z</dcterms:modified>
  <cp:revision>2</cp:revision>
  <dc:subject/>
  <dc:title>Project Name</dc:title>
</cp:coreProperties>
</file>