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Company 536</w:t>
      </w:r>
    </w:p>
    <w:p>
      <w:pPr>
        <w:pStyle w:val="Normal"/>
        <w:jc w:val="center"/>
        <w:rPr>
          <w:b/>
          <w:bCs/>
          <w:sz w:val="32"/>
        </w:rPr>
      </w:pPr>
      <w:r>
        <w:rPr>
          <w:b/>
          <w:bCs/>
          <w:sz w:val="32"/>
        </w:rPr>
        <w:t>FGT Incremental Facilities</w:t>
      </w:r>
    </w:p>
    <w:p>
      <w:pPr>
        <w:pStyle w:val="Normal"/>
        <w:spacing w:lineRule="auto" w:line="480"/>
        <w:ind w:start="360" w:end="0"/>
        <w:rPr>
          <w:b/>
          <w:bCs/>
          <w:sz w:val="32"/>
        </w:rPr>
      </w:pPr>
      <w:r>
        <w:rPr>
          <w:b/>
          <w:bCs/>
          <w:sz w:val="32"/>
        </w:rPr>
      </w:r>
    </w:p>
    <w:p>
      <w:pPr>
        <w:pStyle w:val="Normal"/>
        <w:spacing w:lineRule="auto" w:line="480"/>
        <w:ind w:start="360" w:end="0"/>
        <w:rPr/>
      </w:pPr>
      <w:r>
        <w:rPr/>
      </w:r>
    </w:p>
    <w:p>
      <w:pPr>
        <w:pStyle w:val="Heading1"/>
        <w:rPr/>
      </w:pPr>
      <w:r>
        <w:rPr/>
        <w:t>Equity AFUDC</w:t>
      </w:r>
    </w:p>
    <w:p>
      <w:pPr>
        <w:pStyle w:val="Normal"/>
        <w:numPr>
          <w:ilvl w:val="0"/>
          <w:numId w:val="2"/>
        </w:numPr>
        <w:rPr/>
      </w:pPr>
      <w:r>
        <w:rPr/>
        <w:t>Equity AFUDC Gross-Up and all deferred taxes relating to Equity AFUDC should offset one another entirely.</w:t>
      </w:r>
    </w:p>
    <w:p>
      <w:pPr>
        <w:pStyle w:val="Normal"/>
        <w:ind w:start="360" w:end="0"/>
        <w:rPr/>
      </w:pPr>
      <w:r>
        <w:rPr/>
      </w:r>
    </w:p>
    <w:p>
      <w:pPr>
        <w:pStyle w:val="Normal"/>
        <w:numPr>
          <w:ilvl w:val="0"/>
          <w:numId w:val="2"/>
        </w:numPr>
        <w:rPr/>
      </w:pPr>
      <w:r>
        <w:rPr/>
        <w:t>Equity AFUDC (as a component of gas plant) is depreciated at the levelized rate.</w:t>
      </w:r>
    </w:p>
    <w:p>
      <w:pPr>
        <w:pStyle w:val="Normal"/>
        <w:ind w:start="360" w:end="0"/>
        <w:rPr/>
      </w:pPr>
      <w:r>
        <w:rPr/>
      </w:r>
    </w:p>
    <w:p>
      <w:pPr>
        <w:pStyle w:val="Normal"/>
        <w:numPr>
          <w:ilvl w:val="0"/>
          <w:numId w:val="2"/>
        </w:numPr>
        <w:rPr/>
      </w:pPr>
      <w:r>
        <w:rPr/>
        <w:t>In contrast, Equity AFUDC Gross-Up is amortized at the book rate of 4%.</w:t>
      </w:r>
    </w:p>
    <w:p>
      <w:pPr>
        <w:pStyle w:val="Normal"/>
        <w:ind w:start="360" w:end="0"/>
        <w:rPr/>
      </w:pPr>
      <w:r>
        <w:rPr/>
      </w:r>
    </w:p>
    <w:p>
      <w:pPr>
        <w:pStyle w:val="Normal"/>
        <w:numPr>
          <w:ilvl w:val="0"/>
          <w:numId w:val="2"/>
        </w:numPr>
        <w:rPr/>
      </w:pPr>
      <w:r>
        <w:rPr/>
        <w:t>The use of the different rates prevents the Gross-Up and deferred taxes from netting to zero.  The resulting difference cannot be quantified because deferred taxes on Equity AFUDC depreciation are embedded in the book depreciation and levelization adjustment tax event codes.</w:t>
      </w:r>
    </w:p>
    <w:p>
      <w:pPr>
        <w:pStyle w:val="Normal"/>
        <w:rPr/>
      </w:pPr>
      <w:r>
        <w:rPr/>
      </w:r>
    </w:p>
    <w:p>
      <w:pPr>
        <w:pStyle w:val="Normal"/>
        <w:rPr/>
      </w:pPr>
      <w:r>
        <w:rPr/>
      </w:r>
    </w:p>
    <w:p>
      <w:pPr>
        <w:pStyle w:val="Normal"/>
        <w:rPr/>
      </w:pPr>
      <w:r>
        <w:rPr/>
      </w:r>
    </w:p>
    <w:p>
      <w:pPr>
        <w:pStyle w:val="Heading2"/>
        <w:ind w:hanging="0" w:start="0"/>
        <w:rPr/>
      </w:pPr>
      <w:r>
        <w:rPr/>
        <w:t>Ramp-Up Accounting</w:t>
      </w:r>
    </w:p>
    <w:p>
      <w:pPr>
        <w:pStyle w:val="Normal"/>
        <w:jc w:val="center"/>
        <w:rPr>
          <w:sz w:val="28"/>
        </w:rPr>
      </w:pPr>
      <w:r>
        <w:rPr>
          <w:sz w:val="28"/>
        </w:rPr>
      </w:r>
    </w:p>
    <w:p>
      <w:pPr>
        <w:pStyle w:val="Normal"/>
        <w:numPr>
          <w:ilvl w:val="0"/>
          <w:numId w:val="2"/>
        </w:numPr>
        <w:rPr/>
      </w:pPr>
      <w:r>
        <w:rPr/>
        <w:t>The Phase IV ramp-up regulatory asset should include depreciation and pretax return on the ramp-up facilities.  Depreciation appears to have been excluded.</w:t>
      </w:r>
    </w:p>
    <w:p>
      <w:pPr>
        <w:pStyle w:val="Normal"/>
        <w:rPr/>
      </w:pPr>
      <w:r>
        <w:rPr/>
      </w:r>
    </w:p>
    <w:p>
      <w:pPr>
        <w:pStyle w:val="Normal"/>
        <w:numPr>
          <w:ilvl w:val="0"/>
          <w:numId w:val="2"/>
        </w:numPr>
        <w:rPr/>
      </w:pPr>
      <w:r>
        <w:rPr/>
        <w:t>The regulatory asset is being amortized at the book rate of 4% rather than the levelized rate.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uto" w:line="480"/>
      <w:ind w:hanging="0" w:start="360" w:end="0"/>
      <w:jc w:val="center"/>
      <w:outlineLvl w:val="0"/>
    </w:pPr>
    <w:rPr>
      <w:b/>
      <w:bCs/>
      <w:sz w:val="28"/>
    </w:rPr>
  </w:style>
  <w:style w:type="paragraph" w:styleId="Heading2">
    <w:name w:val="heading 2"/>
    <w:basedOn w:val="Normal"/>
    <w:next w:val="Normal"/>
    <w:qFormat/>
    <w:pPr>
      <w:keepNext w:val="true"/>
      <w:numPr>
        <w:ilvl w:val="1"/>
        <w:numId w:val="1"/>
      </w:numPr>
      <w:jc w:val="center"/>
      <w:outlineLvl w:val="1"/>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2001-10-09T19:43:00Z</dcterms:created>
  <dc:creator>dthomps</dc:creator>
  <dc:description/>
  <dc:language>en-CA</dc:language>
  <cp:lastModifiedBy>dthomps</cp:lastModifiedBy>
  <cp:lastPrinted>2001-10-09T15:34:00Z</cp:lastPrinted>
  <dcterms:modified xsi:type="dcterms:W3CDTF">2001-10-09T19:47:00Z</dcterms:modified>
  <cp:revision>3</cp:revision>
  <dc:subject/>
  <dc:title>Equity AFUDC</dc:title>
</cp:coreProperties>
</file>