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720" w:start="720" w:end="0"/>
        <w:rPr>
          <w:u w:val="single"/>
        </w:rPr>
      </w:pPr>
      <w:r>
        <w:rPr>
          <w:u w:val="single"/>
        </w:rPr>
        <w:t>Environment/Energy Services</w:t>
      </w:r>
    </w:p>
    <w:p>
      <w:pPr>
        <w:pStyle w:val="Normal"/>
        <w:rPr/>
      </w:pPr>
      <w:r>
        <w:rPr/>
      </w:r>
    </w:p>
    <w:p>
      <w:pPr>
        <w:pStyle w:val="Heading2"/>
        <w:ind w:hanging="0" w:start="0"/>
        <w:rPr/>
      </w:pPr>
      <w:r>
        <w:rPr/>
        <w:t>A.  Environment</w:t>
      </w:r>
    </w:p>
    <w:p>
      <w:pPr>
        <w:pStyle w:val="Normal"/>
        <w:rPr/>
      </w:pPr>
      <w:r>
        <w:rPr/>
      </w:r>
    </w:p>
    <w:p>
      <w:pPr>
        <w:pStyle w:val="Normal"/>
        <w:rPr/>
      </w:pPr>
      <w:r>
        <w:rPr/>
        <w:t>Trade and the environment has been subject to an ongoing work program in the Committee on Trade and Environment (CTE) in the WTO, and included a high-level symposium held in March 1999.  The Committee’s work program has focused on how best to reflect environmental concerns within existing WTO commitments.</w:t>
      </w:r>
    </w:p>
    <w:p>
      <w:pPr>
        <w:pStyle w:val="Normal"/>
        <w:rPr/>
      </w:pPr>
      <w:r>
        <w:rPr/>
      </w:r>
    </w:p>
    <w:p>
      <w:pPr>
        <w:pStyle w:val="Normal"/>
        <w:rPr/>
      </w:pPr>
      <w:r>
        <w:rPr/>
        <w:t>With respect to Seattle, the United States has proposed a fairly limited agenda of environmentally related actions, including:</w:t>
      </w:r>
    </w:p>
    <w:p>
      <w:pPr>
        <w:pStyle w:val="Normal"/>
        <w:rPr/>
      </w:pPr>
      <w:r>
        <w:rPr/>
      </w:r>
    </w:p>
    <w:p>
      <w:pPr>
        <w:pStyle w:val="Normal"/>
        <w:ind w:hanging="720" w:start="720" w:end="0"/>
        <w:rPr/>
      </w:pPr>
      <w:r>
        <w:rPr>
          <w:rFonts w:eastAsia="Symbol" w:cs="Symbol" w:ascii="Symbol" w:hAnsi="Symbol"/>
        </w:rPr>
        <w:sym w:font="Symbol" w:char="f0b7"/>
      </w:r>
      <w:r>
        <w:rPr/>
        <w:tab/>
        <w:t>increasing transparency in the WTO process by opening activities to nongovernmental organizations (NGOs).</w:t>
      </w:r>
    </w:p>
    <w:p>
      <w:pPr>
        <w:pStyle w:val="Normal"/>
        <w:ind w:hanging="720" w:start="720" w:end="0"/>
        <w:rPr/>
      </w:pPr>
      <w:r>
        <w:rPr/>
      </w:r>
    </w:p>
    <w:p>
      <w:pPr>
        <w:pStyle w:val="Normal"/>
        <w:ind w:hanging="720" w:start="720" w:end="0"/>
        <w:rPr/>
      </w:pPr>
      <w:r>
        <w:rPr>
          <w:rFonts w:eastAsia="Symbol" w:cs="Symbol" w:ascii="Symbol" w:hAnsi="Symbol"/>
        </w:rPr>
        <w:sym w:font="Symbol" w:char="f0b7"/>
      </w:r>
      <w:r>
        <w:rPr/>
        <w:tab/>
        <w:t>using the CTE to identify links between the new round’s negotiating agenda and the environment.  Any negotiations on issues identified by the CTE would be conducted in specific negotiating groups, not the CTE.</w:t>
      </w:r>
    </w:p>
    <w:p>
      <w:pPr>
        <w:pStyle w:val="Normal"/>
        <w:ind w:hanging="720" w:start="720" w:end="0"/>
        <w:rPr/>
      </w:pPr>
      <w:r>
        <w:rPr/>
      </w:r>
    </w:p>
    <w:p>
      <w:pPr>
        <w:pStyle w:val="Normal"/>
        <w:ind w:hanging="720" w:start="720" w:end="0"/>
        <w:rPr/>
      </w:pPr>
      <w:r>
        <w:rPr>
          <w:rFonts w:eastAsia="Symbol" w:cs="Symbol" w:ascii="Symbol" w:hAnsi="Symbol"/>
        </w:rPr>
        <w:sym w:font="Symbol" w:char="f0b7"/>
      </w:r>
      <w:r>
        <w:rPr/>
        <w:tab/>
        <w:t>pursuing environmental “win-win” strategies, such as eliminating fisheries subsidies, agricultural export subsidies, and those domestic agricultural supports that encourage environmental degradation; and elimination of restrictions on trade in environmental goods and services.</w:t>
      </w:r>
    </w:p>
    <w:p>
      <w:pPr>
        <w:pStyle w:val="Normal"/>
        <w:ind w:hanging="720" w:start="720" w:end="0"/>
        <w:rPr/>
      </w:pPr>
      <w:r>
        <w:rPr/>
      </w:r>
    </w:p>
    <w:p>
      <w:pPr>
        <w:pStyle w:val="Normal"/>
        <w:ind w:hanging="720" w:start="720" w:end="0"/>
        <w:rPr/>
      </w:pPr>
      <w:r>
        <w:rPr>
          <w:rFonts w:eastAsia="Symbol" w:cs="Symbol" w:ascii="Symbol" w:hAnsi="Symbol"/>
        </w:rPr>
        <w:sym w:font="Symbol" w:char="f0b7"/>
      </w:r>
      <w:r>
        <w:rPr/>
        <w:tab/>
        <w:t>conducting an environmental impact assessment of a new round.</w:t>
      </w:r>
    </w:p>
    <w:p>
      <w:pPr>
        <w:pStyle w:val="Normal"/>
        <w:ind w:hanging="720" w:start="720" w:end="0"/>
        <w:rPr/>
      </w:pPr>
      <w:r>
        <w:rPr/>
      </w:r>
    </w:p>
    <w:p>
      <w:pPr>
        <w:pStyle w:val="Normal"/>
        <w:rPr/>
      </w:pPr>
      <w:r>
        <w:rPr/>
        <w:t xml:space="preserve">The proposal to eliminate restrictions on environmental goods and services already has fairly broad support within the WTO.  The other elements of the U.S. position are more controversial.  </w:t>
      </w:r>
    </w:p>
    <w:p>
      <w:pPr>
        <w:pStyle w:val="Normal"/>
        <w:ind w:hanging="720" w:start="720" w:end="0"/>
        <w:rPr/>
      </w:pPr>
      <w:r>
        <w:rPr/>
      </w:r>
    </w:p>
    <w:p>
      <w:pPr>
        <w:pStyle w:val="Normal"/>
        <w:rPr/>
      </w:pPr>
      <w:r>
        <w:rPr/>
        <w:t>Environmental groups find the U.S. position far too limited.  The basic tension between is which takes precedence – trade liberalization or environmental protection.  For some groups, their opposition is based on their basic opposition to economic development.  Others see the WTO as endangering their ability to use trade sanctions in Multilateral Environmental Agreements (MEAs), and want it made clear that MEAs take precedence over WTO commitments.  Another bone of contention is the U.S. goal of early tariff elimination in the are of forestry products, which environmental groups says will lead to the destruction of forests in developing countries.  In the end this is, of course, a false tension, since trade liberalization can support environmental protection.</w:t>
      </w:r>
    </w:p>
    <w:p>
      <w:pPr>
        <w:pStyle w:val="Normal"/>
        <w:rPr/>
      </w:pPr>
      <w:r>
        <w:rPr/>
      </w:r>
    </w:p>
    <w:p>
      <w:pPr>
        <w:pStyle w:val="Heading2"/>
        <w:ind w:hanging="0" w:start="0"/>
        <w:rPr>
          <w:b w:val="false"/>
          <w:bCs w:val="false"/>
        </w:rPr>
      </w:pPr>
      <w:r>
        <w:rPr/>
        <w:t>B.  Energy Services</w:t>
      </w:r>
    </w:p>
    <w:p>
      <w:pPr>
        <w:pStyle w:val="Normal"/>
        <w:rPr>
          <w:b/>
          <w:bCs/>
        </w:rPr>
      </w:pPr>
      <w:r>
        <w:rPr>
          <w:b/>
          <w:bCs/>
        </w:rPr>
      </w:r>
    </w:p>
    <w:p>
      <w:pPr>
        <w:pStyle w:val="Normal"/>
        <w:rPr/>
      </w:pPr>
      <w:r>
        <w:rPr/>
        <w:t>Liberalization in energy services would be a constructive complement to action on environmental goods and services.  Some 2 billion people today are without commercial power – most in developing countries.  As a result, there is significant “poverty pollution” as people burn wood, coal or other fuels.  In addition, lack of access to the latest technologies for the development, production, transmission, and management of power results in inefficient energy usage.</w:t>
      </w:r>
    </w:p>
    <w:p>
      <w:pPr>
        <w:pStyle w:val="Normal"/>
        <w:rPr/>
      </w:pPr>
      <w:r>
        <w:rPr/>
      </w:r>
    </w:p>
    <w:p>
      <w:pPr>
        <w:pStyle w:val="Normal"/>
        <w:rPr/>
      </w:pPr>
      <w:r>
        <w:rPr/>
        <w:t>A coalition of U.S. energy service providers is pressing for liberalization in the energy services sector.  This includes liberalization in virtually every aspect of the energy chain, from oil drilling services, to power supply and distribution networks, to energy risk management.  Efforts to liberalize energy services would be a positive step in opening markets where U.S. firms have a competitive advantage and other countries have a need.  Such an effort should receive strong support from the U.S. and other governments.</w:t>
      </w:r>
    </w:p>
    <w:p>
      <w:pPr>
        <w:pStyle w:val="Normal"/>
        <w:rPr/>
      </w:pPr>
      <w:r>
        <w:rPr/>
      </w:r>
    </w:p>
    <w:p>
      <w:pPr>
        <w:pStyle w:val="Heading2"/>
        <w:ind w:hanging="0" w:start="0"/>
        <w:rPr/>
      </w:pPr>
      <w:r>
        <w:rPr/>
        <w:t>C.  Comment</w:t>
      </w:r>
    </w:p>
    <w:p>
      <w:pPr>
        <w:pStyle w:val="Normal"/>
        <w:rPr/>
      </w:pPr>
      <w:r>
        <w:rPr/>
      </w:r>
    </w:p>
    <w:p>
      <w:pPr>
        <w:pStyle w:val="Normal"/>
        <w:rPr/>
      </w:pPr>
      <w:r>
        <w:rPr/>
        <w:t>There is little likelihood of reaching an accommodation with the extreme environmental groups.  As with labor, the main focus for environmental protection should be outside the WTO, with the trade agenda supporting environmental protection as appropriate.  The U.S. position is a reasonable attempt to use the WTO to enhance protection for the environment without letting the WTO process be held hostage by environmentalists.</w:t>
      </w:r>
    </w:p>
    <w:p>
      <w:pPr>
        <w:pStyle w:val="Normal"/>
        <w:rPr/>
      </w:pPr>
      <w:r>
        <w:rPr/>
      </w:r>
    </w:p>
    <w:p>
      <w:pPr>
        <w:pStyle w:val="Heading2"/>
        <w:ind w:hanging="0" w:start="0"/>
        <w:rPr/>
      </w:pPr>
      <w:r>
        <w:rPr/>
        <w:t>D.  Recommended Position</w:t>
      </w:r>
    </w:p>
    <w:p>
      <w:pPr>
        <w:pStyle w:val="Normal"/>
        <w:rPr/>
      </w:pPr>
      <w:r>
        <w:rPr/>
      </w:r>
    </w:p>
    <w:p>
      <w:pPr>
        <w:pStyle w:val="Normal"/>
        <w:ind w:hanging="720" w:start="720" w:end="0"/>
        <w:rPr/>
      </w:pPr>
      <w:r>
        <w:rPr>
          <w:rFonts w:eastAsia="Symbol" w:cs="Symbol" w:ascii="Symbol" w:hAnsi="Symbol"/>
        </w:rPr>
        <w:sym w:font="Symbol" w:char="f0b7"/>
      </w:r>
      <w:r>
        <w:rPr/>
        <w:tab/>
        <w:t>Trade liberalization and environmental protection are mutually reinforcing in a number of areas.</w:t>
      </w:r>
    </w:p>
    <w:p>
      <w:pPr>
        <w:pStyle w:val="Normal"/>
        <w:rPr/>
      </w:pPr>
      <w:r>
        <w:rPr/>
      </w:r>
    </w:p>
    <w:p>
      <w:pPr>
        <w:pStyle w:val="Normal"/>
        <w:ind w:hanging="720" w:start="720" w:end="0"/>
        <w:rPr/>
      </w:pPr>
      <w:r>
        <w:rPr>
          <w:rFonts w:eastAsia="Symbol" w:cs="Symbol" w:ascii="Symbol" w:hAnsi="Symbol"/>
        </w:rPr>
        <w:sym w:font="Symbol" w:char="f0b7"/>
      </w:r>
      <w:r>
        <w:rPr/>
        <w:tab/>
        <w:t>Proposals that would help enhance each country’s ability to protect its environment and develop in a sustainable way, include:</w:t>
      </w:r>
    </w:p>
    <w:p>
      <w:pPr>
        <w:pStyle w:val="Normal"/>
        <w:ind w:hanging="720" w:start="720" w:end="0"/>
        <w:rPr/>
      </w:pPr>
      <w:r>
        <w:rPr/>
      </w:r>
    </w:p>
    <w:p>
      <w:pPr>
        <w:pStyle w:val="Normal"/>
        <w:ind w:start="720" w:end="0"/>
        <w:rPr/>
      </w:pPr>
      <w:r>
        <w:rPr/>
        <w:t>--</w:t>
        <w:tab/>
        <w:t>elimination of restrictions on environmental goods and services;</w:t>
      </w:r>
    </w:p>
    <w:p>
      <w:pPr>
        <w:pStyle w:val="Normal"/>
        <w:ind w:start="720" w:end="0"/>
        <w:rPr/>
      </w:pPr>
      <w:r>
        <w:rPr/>
      </w:r>
    </w:p>
    <w:p>
      <w:pPr>
        <w:pStyle w:val="Normal"/>
        <w:ind w:hanging="720" w:start="1440" w:end="0"/>
        <w:rPr/>
      </w:pPr>
      <w:r>
        <w:rPr/>
        <w:t>--</w:t>
        <w:tab/>
        <w:t>elimination of restrictions on energy services, to ensure that there is the most efficient development and usage of energy; and</w:t>
      </w:r>
    </w:p>
    <w:p>
      <w:pPr>
        <w:pStyle w:val="Normal"/>
        <w:ind w:start="720" w:end="0"/>
        <w:rPr/>
      </w:pPr>
      <w:r>
        <w:rPr/>
      </w:r>
    </w:p>
    <w:p>
      <w:pPr>
        <w:pStyle w:val="Normal"/>
        <w:ind w:start="720" w:end="0"/>
        <w:rPr/>
      </w:pPr>
      <w:r>
        <w:rPr/>
        <w:t>--</w:t>
        <w:tab/>
        <w:t>elimination of subsidies that encourage overfishing and overfarming.</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0"/>
      <w:lang w:val="en-US" w:bidi="ar-SA" w:eastAsia="zh-CN"/>
    </w:rPr>
  </w:style>
  <w:style w:type="paragraph" w:styleId="Heading2">
    <w:name w:val="heading 2"/>
    <w:basedOn w:val="Normal"/>
    <w:next w:val="Normal"/>
    <w:qFormat/>
    <w:pPr>
      <w:keepNext w:val="true"/>
      <w:numPr>
        <w:ilvl w:val="1"/>
        <w:numId w:val="1"/>
      </w:numPr>
      <w:outlineLvl w:val="1"/>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1999-11-15T17:00:00Z</dcterms:created>
  <dc:creator>RCFisher</dc:creator>
  <dc:description/>
  <dc:language>en-CA</dc:language>
  <cp:lastModifiedBy>RCFisher</cp:lastModifiedBy>
  <dcterms:modified xsi:type="dcterms:W3CDTF">1999-11-15T17:01:00Z</dcterms:modified>
  <cp:revision>1</cp:revision>
  <dc:subject/>
  <dc:title>Environment/Energy Services</dc:title>
</cp:coreProperties>
</file>