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Numbered3"/>
        <w:numPr>
          <w:ilvl w:val="0"/>
          <w:numId w:val="0"/>
        </w:numPr>
        <w:ind w:hanging="0" w:start="0"/>
        <w:rPr>
          <w:b/>
          <w:sz w:val="22"/>
        </w:rPr>
      </w:pPr>
      <w:r>
        <w:rPr>
          <w:b/>
          <w:sz w:val="22"/>
        </w:rPr>
        <w:t>Section 8.3 of Master Agreement re DealBench</w:t>
      </w:r>
    </w:p>
    <w:p>
      <w:pPr>
        <w:pStyle w:val="VENumbered3"/>
        <w:numPr>
          <w:ilvl w:val="0"/>
          <w:numId w:val="0"/>
        </w:numPr>
        <w:ind w:firstLine="1440" w:start="0" w:end="0"/>
        <w:rPr/>
      </w:pPr>
      <w:r>
        <w:rPr>
          <w:sz w:val="22"/>
        </w:rPr>
        <w:t>(a)</w:t>
        <w:tab/>
        <w:t>DealBench will permit any member of the Envera Network (a “</w:t>
      </w:r>
      <w:r>
        <w:rPr>
          <w:sz w:val="22"/>
          <w:u w:val="single"/>
        </w:rPr>
        <w:t>Member</w:t>
      </w:r>
      <w:r>
        <w:rPr>
          <w:sz w:val="22"/>
        </w:rPr>
        <w:t xml:space="preserve">”) to conduct up to two product auctions on </w:t>
      </w:r>
      <w:r>
        <w:rPr>
          <w:i/>
          <w:sz w:val="22"/>
        </w:rPr>
        <w:t xml:space="preserve">DealBench™ </w:t>
      </w:r>
      <w:r>
        <w:rPr>
          <w:sz w:val="22"/>
        </w:rPr>
        <w:t>at no charge (except for any third-party expenses incurred by DealBench in connection with such auctions), subject to (i) the Member’s execution and delivery of a then standard DealBench Site License Agreement covering each or both such auction(s), (ii) a maximum of 25 such auctions for all Members, and (iii) the completion of all such auctions within 90 days of the execution and delivery of the Site License Agreement covering the first such auction (the “</w:t>
      </w:r>
      <w:r>
        <w:rPr>
          <w:sz w:val="22"/>
          <w:u w:val="single"/>
        </w:rPr>
        <w:t>Initial Period</w:t>
      </w:r>
      <w:r>
        <w:rPr>
          <w:sz w:val="22"/>
        </w:rPr>
        <w:t xml:space="preserve">”); </w:t>
      </w:r>
      <w:r>
        <w:rPr>
          <w:i/>
          <w:sz w:val="22"/>
        </w:rPr>
        <w:t>provided, however</w:t>
      </w:r>
      <w:r>
        <w:rPr>
          <w:sz w:val="22"/>
        </w:rPr>
        <w:t>, that if after the Initial Period, 25 such auctions have not been completed by Members, then for an additional 90 day period beginning upon expiration of the Initial Period (the “</w:t>
      </w:r>
      <w:r>
        <w:rPr>
          <w:sz w:val="22"/>
          <w:u w:val="single"/>
        </w:rPr>
        <w:t>Secondary Period</w:t>
      </w:r>
      <w:r>
        <w:rPr>
          <w:sz w:val="22"/>
        </w:rPr>
        <w:t xml:space="preserve">”), DealBench will permit any person who becomes a new Member during the Secondary Period to conduct one product auction on </w:t>
      </w:r>
      <w:r>
        <w:rPr>
          <w:i/>
          <w:sz w:val="22"/>
        </w:rPr>
        <w:t xml:space="preserve">DealBench™ </w:t>
      </w:r>
      <w:r>
        <w:rPr>
          <w:sz w:val="22"/>
        </w:rPr>
        <w:t xml:space="preserve">at no charge (except for any third-party expenses incurred by DealBench in connection with such auction), subject to (i) the new Member’s execution and delivery of a then standard DealBench Site License Agreement covering such auction, (ii) a maximum number of such auctions for all new Members equal to the difference between 25 and the number of auctions completed by Members during the Initial Period, and (iii) the completion of all such new-Member auctions by the end of the Secondary Period. </w:t>
      </w:r>
    </w:p>
    <w:p>
      <w:pPr>
        <w:pStyle w:val="BodyTextIndent"/>
        <w:ind w:firstLine="1440" w:start="0" w:end="0"/>
        <w:rPr/>
      </w:pPr>
      <w:r>
        <w:rPr/>
        <w:t>(b)</w:t>
        <w:tab/>
        <w:t xml:space="preserve">Until December 31, 2001, DealBench will permit each Member to conduct product auctions on </w:t>
      </w:r>
      <w:r>
        <w:rPr>
          <w:i/>
        </w:rPr>
        <w:t xml:space="preserve">DealBench™ </w:t>
      </w:r>
      <w:r>
        <w:rPr/>
        <w:t>at discounted site license fees according to the following schedule:</w:t>
      </w:r>
    </w:p>
    <w:p>
      <w:pPr>
        <w:pStyle w:val="BodyTextIndent"/>
        <w:ind w:firstLine="1440" w:start="0" w:end="0"/>
        <w:rPr/>
      </w:pPr>
      <w:r>
        <w:rPr/>
      </w:r>
    </w:p>
    <w:p>
      <w:pPr>
        <w:pStyle w:val="BodyTextIndent"/>
        <w:ind w:firstLine="720" w:start="0" w:end="0"/>
        <w:rPr/>
      </w:pPr>
      <w:r>
        <w:rPr>
          <w:b/>
        </w:rPr>
        <w:t>Site License Fees Paid</w:t>
        <w:tab/>
        <w:t>by the Member</w:t>
      </w:r>
      <w:r>
        <w:rPr>
          <w:rFonts w:cs="Times New Roman Bold" w:ascii="Times New Roman Bold" w:hAnsi="Times New Roman Bold"/>
          <w:b/>
          <w:vertAlign w:val="superscript"/>
        </w:rPr>
        <w:t>(1)</w:t>
      </w:r>
      <w:r>
        <w:rPr>
          <w:b/>
        </w:rPr>
        <w:t xml:space="preserve"> </w:t>
      </w:r>
    </w:p>
    <w:p>
      <w:pPr>
        <w:pStyle w:val="BodyTextIndent"/>
        <w:ind w:firstLine="720" w:start="0" w:end="0"/>
        <w:rPr>
          <w:b/>
        </w:rPr>
      </w:pPr>
      <w:r>
        <w:rPr>
          <w:b/>
        </w:rPr>
        <w:t>to DealBench during 2001 for auctions</w:t>
      </w:r>
    </w:p>
    <w:p>
      <w:pPr>
        <w:pStyle w:val="BodyTextIndent"/>
        <w:ind w:firstLine="720" w:start="0" w:end="0"/>
        <w:rPr/>
      </w:pPr>
      <w:r>
        <w:rPr>
          <w:b/>
        </w:rPr>
        <w:t xml:space="preserve">on </w:t>
      </w:r>
      <w:r>
        <w:rPr>
          <w:b/>
          <w:i/>
        </w:rPr>
        <w:t xml:space="preserve">DealBench™ </w:t>
      </w:r>
      <w:r>
        <w:rPr>
          <w:b/>
        </w:rPr>
        <w:t xml:space="preserve">with an </w:t>
      </w:r>
    </w:p>
    <w:p>
      <w:pPr>
        <w:pStyle w:val="BodyTextIndent"/>
        <w:ind w:firstLine="720" w:start="0" w:end="0"/>
        <w:rPr/>
      </w:pPr>
      <w:r>
        <w:rPr>
          <w:b/>
        </w:rPr>
        <w:t>Aggregate Transaction Value</w:t>
      </w:r>
      <w:r>
        <w:rPr>
          <w:rFonts w:cs="Times New Roman Bold" w:ascii="Times New Roman Bold" w:hAnsi="Times New Roman Bold"/>
          <w:b/>
          <w:vertAlign w:val="superscript"/>
        </w:rPr>
        <w:t>(2)</w:t>
      </w:r>
      <w:r>
        <w:rPr>
          <w:b/>
        </w:rPr>
        <w:t xml:space="preserve"> of:</w:t>
        <w:tab/>
        <w:tab/>
        <w:t>Discount</w:t>
      </w:r>
      <w:r>
        <w:rPr>
          <w:rFonts w:cs="Times New Roman Bold" w:ascii="Times New Roman Bold" w:hAnsi="Times New Roman Bold"/>
          <w:b/>
          <w:vertAlign w:val="superscript"/>
        </w:rPr>
        <w:t>(3)</w:t>
      </w:r>
      <w:r>
        <w:rPr>
          <w:b/>
        </w:rPr>
        <w:t>:</w:t>
      </w:r>
    </w:p>
    <w:p>
      <w:pPr>
        <w:pStyle w:val="BodyTextIndent"/>
        <w:ind w:firstLine="1440" w:start="0" w:end="0"/>
        <w:rPr>
          <w:b/>
        </w:rPr>
      </w:pPr>
      <w:r>
        <w:rPr>
          <w:b/>
        </w:rPr>
      </w:r>
    </w:p>
    <w:p>
      <w:pPr>
        <w:pStyle w:val="BodyTextIndent"/>
        <w:ind w:firstLine="468" w:end="0"/>
        <w:rPr/>
      </w:pPr>
      <w:r>
        <w:rPr/>
        <w:t>Up to US$25 million</w:t>
        <w:tab/>
        <w:tab/>
        <w:tab/>
        <w:tab/>
        <w:t>None</w:t>
      </w:r>
    </w:p>
    <w:p>
      <w:pPr>
        <w:pStyle w:val="BodyTextIndent"/>
        <w:ind w:firstLine="1440" w:start="0" w:end="0"/>
        <w:rPr/>
      </w:pPr>
      <w:r>
        <w:rPr/>
      </w:r>
    </w:p>
    <w:p>
      <w:pPr>
        <w:pStyle w:val="BodyTextIndent"/>
        <w:ind w:firstLine="468" w:end="0"/>
        <w:rPr/>
      </w:pPr>
      <w:r>
        <w:rPr/>
        <w:t>US$25 million up to US$50 million</w:t>
        <w:tab/>
        <w:tab/>
        <w:t>Five percent (5%)</w:t>
      </w:r>
    </w:p>
    <w:p>
      <w:pPr>
        <w:pStyle w:val="BodyTextIndent"/>
        <w:ind w:firstLine="1440" w:start="0" w:end="0"/>
        <w:rPr/>
      </w:pPr>
      <w:r>
        <w:rPr/>
      </w:r>
    </w:p>
    <w:p>
      <w:pPr>
        <w:pStyle w:val="BodyTextIndent"/>
        <w:ind w:firstLine="720" w:start="0" w:end="0"/>
        <w:rPr/>
      </w:pPr>
      <w:r>
        <w:rPr/>
        <w:t>US$50 million up to US$100 million</w:t>
        <w:tab/>
        <w:tab/>
        <w:t>Seven and one-half percent (7.5%)</w:t>
      </w:r>
    </w:p>
    <w:p>
      <w:pPr>
        <w:pStyle w:val="BodyTextIndent"/>
        <w:ind w:firstLine="720" w:start="0" w:end="0"/>
        <w:rPr/>
      </w:pPr>
      <w:r>
        <w:rPr/>
      </w:r>
    </w:p>
    <w:p>
      <w:pPr>
        <w:pStyle w:val="BodyTextIndent"/>
        <w:pBdr>
          <w:bottom w:val="single" w:sz="12" w:space="3" w:color="000000"/>
        </w:pBdr>
        <w:ind w:firstLine="720" w:start="0" w:end="0"/>
        <w:rPr/>
      </w:pPr>
      <w:r>
        <w:rPr/>
        <w:t>US$100 million or more</w:t>
        <w:tab/>
        <w:tab/>
        <w:tab/>
        <w:tab/>
        <w:t>Ten percent (10%)</w:t>
      </w:r>
    </w:p>
    <w:p>
      <w:pPr>
        <w:pStyle w:val="BodyTextIndent"/>
        <w:pBdr>
          <w:bottom w:val="single" w:sz="12" w:space="3" w:color="000000"/>
        </w:pBdr>
        <w:ind w:firstLine="720" w:start="0" w:end="0"/>
        <w:rPr/>
      </w:pPr>
      <w:r>
        <w:rPr/>
      </w:r>
    </w:p>
    <w:p>
      <w:pPr>
        <w:pStyle w:val="BodyTextIndent"/>
        <w:numPr>
          <w:ilvl w:val="0"/>
          <w:numId w:val="3"/>
        </w:numPr>
        <w:tabs>
          <w:tab w:val="left" w:pos="720" w:leader="none"/>
        </w:tabs>
        <w:ind w:hanging="360" w:start="720" w:end="0"/>
        <w:rPr/>
      </w:pPr>
      <w:r>
        <w:rPr/>
        <w:t xml:space="preserve">Paid site license fees will include non-discounted and discounted site license fees paid by the subject Member. </w:t>
      </w:r>
    </w:p>
    <w:p>
      <w:pPr>
        <w:pStyle w:val="BodyTextIndent"/>
        <w:ind w:hanging="0" w:start="0" w:end="0"/>
        <w:rPr/>
      </w:pPr>
      <w:r>
        <w:rPr/>
      </w:r>
    </w:p>
    <w:p>
      <w:pPr>
        <w:pStyle w:val="BodyTextIndent"/>
        <w:numPr>
          <w:ilvl w:val="0"/>
          <w:numId w:val="3"/>
        </w:numPr>
        <w:tabs>
          <w:tab w:val="left" w:pos="720" w:leader="none"/>
        </w:tabs>
        <w:ind w:hanging="360" w:start="720" w:end="0"/>
        <w:rPr/>
      </w:pPr>
      <w:r>
        <w:rPr/>
        <w:t>“</w:t>
      </w:r>
      <w:r>
        <w:rPr>
          <w:u w:val="single"/>
        </w:rPr>
        <w:t>Aggregate Transaction Value</w:t>
      </w:r>
      <w:r>
        <w:rPr/>
        <w:t xml:space="preserve">” is aggregate dollar size of auction conducted on </w:t>
      </w:r>
      <w:r>
        <w:rPr>
          <w:i/>
        </w:rPr>
        <w:t>DealBench™</w:t>
      </w:r>
      <w:r>
        <w:rPr/>
        <w:t>, which is either the aggregate (i) maximum dollar amount the Member as “Deal Manager” will pay to buy product in a reverse or procurement auction or (ii) minimum dollar amount the Member as “Deal Manager” will accept in a sale of product in a forward or sales auction.</w:t>
      </w:r>
    </w:p>
    <w:p>
      <w:pPr>
        <w:pStyle w:val="BodyTextIndent"/>
        <w:ind w:hanging="0" w:start="0" w:end="0"/>
        <w:rPr/>
      </w:pPr>
      <w:r>
        <w:rPr/>
      </w:r>
    </w:p>
    <w:p>
      <w:pPr>
        <w:pStyle w:val="BodyTextIndent"/>
        <w:numPr>
          <w:ilvl w:val="0"/>
          <w:numId w:val="3"/>
        </w:numPr>
        <w:tabs>
          <w:tab w:val="left" w:pos="720" w:leader="none"/>
        </w:tabs>
        <w:ind w:hanging="360" w:start="720" w:end="0"/>
        <w:rPr/>
      </w:pPr>
      <w:r>
        <w:rPr/>
        <w:t xml:space="preserve">Discount is based upon a non-discounted site license fee of one percent of Aggregate Transaction Value. </w:t>
      </w:r>
    </w:p>
    <w:p>
      <w:pPr>
        <w:pStyle w:val="BodyTextIndent"/>
        <w:ind w:hanging="0" w:start="0" w:end="0"/>
        <w:rPr/>
      </w:pPr>
      <w:r>
        <w:rPr/>
      </w:r>
    </w:p>
    <w:p>
      <w:pPr>
        <w:pStyle w:val="BodyTextIndent"/>
        <w:ind w:hanging="0" w:start="0" w:end="0"/>
        <w:rPr/>
      </w:pPr>
      <w:r>
        <w:rPr/>
        <w:t xml:space="preserve">Discounts will be determined only on a Member by Member basis and not by aggregate Member use of </w:t>
      </w:r>
      <w:r>
        <w:rPr>
          <w:i/>
        </w:rPr>
        <w:t xml:space="preserve">DealBench™.  </w:t>
      </w:r>
      <w:r>
        <w:rPr/>
        <w:t>A then standard DealBench Site License Agreement must cover each transaction conducted by any Member on DealBench™.  Each such Site License Agreement covering an auction(s) being conducted during 2001 must set forth an Aggregate Transaction Value.</w:t>
      </w:r>
    </w:p>
    <w:p>
      <w:pPr>
        <w:pStyle w:val="BodyTextIndent"/>
        <w:ind w:hanging="252" w:end="0"/>
        <w:rPr/>
      </w:pPr>
      <w:r>
        <w:rPr/>
      </w:r>
    </w:p>
    <w:p>
      <w:pPr>
        <w:pStyle w:val="VEBodyText3"/>
        <w:ind w:hanging="0" w:end="0"/>
        <w:rPr/>
      </w:pPr>
      <w:r>
        <w:rPr>
          <w:sz w:val="22"/>
        </w:rPr>
        <w:tab/>
        <w:tab/>
        <w:t>(c)</w:t>
        <w:tab/>
        <w:t>Notwithstanding any other provision of this Agreement, DealBench retains its usual right to reject any transaction for inclusion on DealBench, and without limiting the generality of the foregoing, may reject any transaction or series of transactions if associated legal or regulatory requirements would prohibit such transaction(s) or would, in DealBench’s sole discretion, be unduly burdensome to comply with.</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8"/>
      <w:numFmt w:val="decimal"/>
      <w:lvlText w:val="%1"/>
      <w:lvlJc w:val="start"/>
      <w:pPr>
        <w:tabs>
          <w:tab w:val="num" w:pos="360"/>
        </w:tabs>
        <w:ind w:start="360" w:hanging="360"/>
      </w:pPr>
      <w:rPr/>
    </w:lvl>
    <w:lvl w:ilvl="1">
      <w:start w:val="3"/>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DeltaViewInsertion">
    <w:name w:val="DeltaView Insertion"/>
    <w:qFormat/>
    <w:rPr>
      <w:b/>
      <w:color w:val="0000FF"/>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z w:val="24"/>
    </w:rPr>
  </w:style>
  <w:style w:type="paragraph" w:styleId="VEABCList">
    <w:name w:val="VE ABC List"/>
    <w:basedOn w:val="VENormal"/>
    <w:qFormat/>
    <w:pPr>
      <w:numPr>
        <w:ilvl w:val="0"/>
        <w:numId w:val="2"/>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Normal"/>
    <w:next w:val="Normal"/>
    <w:qFormat/>
    <w:pPr>
      <w:spacing w:before="0" w:after="240"/>
      <w:ind w:firstLine="720" w:start="0" w:end="0"/>
      <w:jc w:val="both"/>
    </w:pPr>
    <w:rPr>
      <w:sz w:val="24"/>
    </w:rPr>
  </w:style>
  <w:style w:type="paragraph" w:styleId="VEBodyText2">
    <w:name w:val="VE Body Text 2"/>
    <w:basedOn w:val="VENormal"/>
    <w:next w:val="VEBodyText1"/>
    <w:qFormat/>
    <w:pPr>
      <w:spacing w:before="0" w:after="240"/>
      <w:ind w:firstLine="1440" w:start="0" w:end="0"/>
    </w:pPr>
    <w:rPr/>
  </w:style>
  <w:style w:type="paragraph" w:styleId="VENumbered2">
    <w:name w:val="VE Numbered 2"/>
    <w:basedOn w:val="VENormal"/>
    <w:next w:val="VEBodyText2"/>
    <w:qFormat/>
    <w:pPr>
      <w:keepNext w:val="true"/>
      <w:numPr>
        <w:ilvl w:val="0"/>
        <w:numId w:val="1"/>
      </w:numPr>
      <w:tabs>
        <w:tab w:val="clear" w:pos="720"/>
      </w:tabs>
      <w:spacing w:before="0" w:after="240"/>
      <w:outlineLvl w:val="1"/>
    </w:pPr>
    <w:rPr>
      <w:b/>
      <w:i/>
    </w:rPr>
  </w:style>
  <w:style w:type="paragraph" w:styleId="VEBodyText3">
    <w:name w:val="VE Body Text 3"/>
    <w:basedOn w:val="Normal"/>
    <w:next w:val="Normal"/>
    <w:qFormat/>
    <w:pPr>
      <w:spacing w:before="0" w:after="240"/>
      <w:ind w:firstLine="2160" w:start="0" w:end="0"/>
      <w:jc w:val="both"/>
    </w:pPr>
    <w:rPr>
      <w:sz w:val="24"/>
    </w:rPr>
  </w:style>
  <w:style w:type="paragraph" w:styleId="VENumbered3">
    <w:name w:val="VE Numbered 3"/>
    <w:basedOn w:val="VENormal"/>
    <w:next w:val="VEBodyText3"/>
    <w:qFormat/>
    <w:pPr>
      <w:numPr>
        <w:ilvl w:val="0"/>
        <w:numId w:val="1"/>
      </w:numPr>
      <w:tabs>
        <w:tab w:val="clear" w:pos="720"/>
      </w:tabs>
      <w:spacing w:before="0" w:after="240"/>
      <w:outlineLvl w:val="2"/>
    </w:pPr>
    <w:rPr/>
  </w:style>
  <w:style w:type="paragraph" w:styleId="BodyTextIndent">
    <w:name w:val="Body Text Indent"/>
    <w:basedOn w:val="Normal"/>
    <w:pPr>
      <w:ind w:hanging="270" w:start="252"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2001-01-08T15:49:00Z</dcterms:created>
  <dc:creator>ndobin</dc:creator>
  <dc:description/>
  <dc:language>en-CA</dc:language>
  <cp:lastModifiedBy>ndobin</cp:lastModifiedBy>
  <dcterms:modified xsi:type="dcterms:W3CDTF">2001-01-08T18:22:00Z</dcterms:modified>
  <cp:revision>2</cp:revision>
  <dc:subject/>
  <dc:title>Section 8</dc:title>
</cp:coreProperties>
</file>