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Vince Kaminski</w:t>
      </w:r>
    </w:p>
    <w:p>
      <w:pPr>
        <w:pStyle w:val="Heading1"/>
        <w:ind w:hanging="0" w:start="0"/>
        <w:rPr/>
      </w:pPr>
      <w:r>
        <w:rPr/>
        <w:t xml:space="preserve">Enterprise – Wide Risk Management. </w:t>
      </w:r>
    </w:p>
    <w:p>
      <w:pPr>
        <w:pStyle w:val="Normal"/>
        <w:rPr/>
      </w:pPr>
      <w:r>
        <w:rPr/>
        <w:t>Discussion notes for RAC/Research off-site</w:t>
      </w:r>
    </w:p>
    <w:p>
      <w:pPr>
        <w:pStyle w:val="Normal"/>
        <w:rPr/>
      </w:pPr>
      <w:r>
        <w:rPr/>
        <w:t>January 16, 2000</w:t>
      </w:r>
    </w:p>
    <w:p>
      <w:pPr>
        <w:pStyle w:val="Normal"/>
        <w:jc w:val="both"/>
        <w:rPr/>
      </w:pPr>
      <w:r>
        <w:rPr/>
      </w:r>
    </w:p>
    <w:p>
      <w:pPr>
        <w:pStyle w:val="BodyText"/>
        <w:rPr/>
      </w:pPr>
      <w:r>
        <w:rPr/>
        <w:t>This document reviews the definition and implementation guidelines of Enterprise  - Wide Risk Management (EWRM) for Enron Corp. EWRM is a relatively poorly defined concept, often abused by some consulting and software firms, which has different meaning (if any) to different people. Our objective is to define this term from the point of view of Enron Corp. and to discuss the implementation plan. The document is divided into three sections:</w:t>
      </w:r>
    </w:p>
    <w:p>
      <w:pPr>
        <w:pStyle w:val="BodyText"/>
        <w:rPr/>
      </w:pPr>
      <w:r>
        <w:rPr/>
      </w:r>
    </w:p>
    <w:p>
      <w:pPr>
        <w:pStyle w:val="BodyText"/>
        <w:numPr>
          <w:ilvl w:val="0"/>
          <w:numId w:val="2"/>
        </w:numPr>
        <w:tabs>
          <w:tab w:val="clear" w:pos="720"/>
          <w:tab w:val="left" w:pos="1440" w:leader="none"/>
        </w:tabs>
        <w:ind w:hanging="720" w:start="1440" w:end="0"/>
        <w:rPr/>
      </w:pPr>
      <w:r>
        <w:rPr/>
        <w:t>EWRM: Definition</w:t>
      </w:r>
    </w:p>
    <w:p>
      <w:pPr>
        <w:pStyle w:val="BodyText"/>
        <w:numPr>
          <w:ilvl w:val="0"/>
          <w:numId w:val="2"/>
        </w:numPr>
        <w:tabs>
          <w:tab w:val="clear" w:pos="720"/>
          <w:tab w:val="left" w:pos="1440" w:leader="none"/>
        </w:tabs>
        <w:ind w:hanging="720" w:start="1440" w:end="0"/>
        <w:rPr/>
      </w:pPr>
      <w:r>
        <w:rPr/>
        <w:t>Enron Corp. EWRM System: Outline of different modules</w:t>
      </w:r>
    </w:p>
    <w:p>
      <w:pPr>
        <w:pStyle w:val="BodyText"/>
        <w:numPr>
          <w:ilvl w:val="0"/>
          <w:numId w:val="2"/>
        </w:numPr>
        <w:tabs>
          <w:tab w:val="clear" w:pos="720"/>
          <w:tab w:val="left" w:pos="1440" w:leader="none"/>
        </w:tabs>
        <w:ind w:hanging="720" w:start="1440" w:end="0"/>
        <w:rPr/>
      </w:pPr>
      <w:r>
        <w:rPr/>
        <w:t>Implementation requirements</w:t>
      </w:r>
    </w:p>
    <w:p>
      <w:pPr>
        <w:pStyle w:val="BodyText"/>
        <w:rPr/>
      </w:pPr>
      <w:r>
        <w:rPr/>
      </w:r>
    </w:p>
    <w:p>
      <w:pPr>
        <w:pStyle w:val="BodyText"/>
        <w:numPr>
          <w:ilvl w:val="0"/>
          <w:numId w:val="4"/>
        </w:numPr>
        <w:tabs>
          <w:tab w:val="clear" w:pos="720"/>
          <w:tab w:val="left" w:pos="1080" w:leader="none"/>
        </w:tabs>
        <w:ind w:hanging="720" w:start="1080" w:end="0"/>
        <w:rPr>
          <w:b/>
        </w:rPr>
      </w:pPr>
      <w:r>
        <w:rPr>
          <w:b/>
        </w:rPr>
        <w:t>EWRM: DEFINITION.</w:t>
      </w:r>
    </w:p>
    <w:p>
      <w:pPr>
        <w:pStyle w:val="BodyText"/>
        <w:ind w:start="360" w:end="0"/>
        <w:rPr>
          <w:b/>
        </w:rPr>
      </w:pPr>
      <w:r>
        <w:rPr>
          <w:b/>
        </w:rPr>
      </w:r>
    </w:p>
    <w:p>
      <w:pPr>
        <w:pStyle w:val="BodyText"/>
        <w:rPr/>
      </w:pPr>
      <w:r>
        <w:rPr/>
        <w:t xml:space="preserve">Enterprise – Wide Risk Management is currently a buzzword repeated constantly at different conferences and financial press articles, but the truth is that neither any company has truly implemented such a system so far, nor any vendor has offered a satisfactory off-the-shelf software solution. In the most general sense, EWRM is defined as a comprehensive management of different financial exposures that a company faces, using a set of specialized information technology solutions. This definition is quite fuzzy, but the trend is unmistakable, and the stock analysts, credit rating agencies, lenders, and ultimately customers will penalize any company that does not move in the general direction of defining and implementing such a system. </w:t>
      </w:r>
    </w:p>
    <w:p>
      <w:pPr>
        <w:pStyle w:val="BodyText"/>
        <w:rPr/>
      </w:pPr>
      <w:r>
        <w:rPr/>
      </w:r>
    </w:p>
    <w:p>
      <w:pPr>
        <w:pStyle w:val="BodyText"/>
        <w:rPr/>
      </w:pPr>
      <w:r>
        <w:rPr/>
        <w:t>At a lower level of abstraction, EWRM often means:</w:t>
      </w:r>
    </w:p>
    <w:p>
      <w:pPr>
        <w:pStyle w:val="BodyText"/>
        <w:rPr/>
      </w:pPr>
      <w:r>
        <w:rPr/>
      </w:r>
    </w:p>
    <w:p>
      <w:pPr>
        <w:pStyle w:val="BodyText"/>
        <w:tabs>
          <w:tab w:val="clear" w:pos="720"/>
          <w:tab w:val="left" w:pos="1800" w:leader="none"/>
        </w:tabs>
        <w:ind w:hanging="360" w:start="1800" w:end="0"/>
        <w:rPr/>
      </w:pPr>
      <w:r>
        <w:rPr/>
        <w:t>a.</w:t>
        <w:tab/>
        <w:t>Extension of Value-at-Risk to the entire trading portfolio. This is the least ambitious definition, applicable to companies that failed to develop a risk management system for a trading operation with sufficient coverage, and struggle to catch up.</w:t>
      </w:r>
    </w:p>
    <w:p>
      <w:pPr>
        <w:pStyle w:val="BodyText"/>
        <w:ind w:start="1440" w:end="0"/>
        <w:rPr/>
      </w:pPr>
      <w:r>
        <w:rPr/>
      </w:r>
    </w:p>
    <w:p>
      <w:pPr>
        <w:pStyle w:val="BodyText"/>
        <w:tabs>
          <w:tab w:val="clear" w:pos="720"/>
          <w:tab w:val="left" w:pos="1800" w:leader="none"/>
        </w:tabs>
        <w:ind w:hanging="360" w:start="1800" w:end="0"/>
        <w:rPr/>
      </w:pPr>
      <w:r>
        <w:rPr/>
        <w:t>b.</w:t>
        <w:tab/>
        <w:t>Integration of Value-at-Risk with credit risk management. Enron has accomplished this objective in our original design of the VaR system for the trading operation, but most financial institutions have only recently begun to address this issue.</w:t>
      </w:r>
    </w:p>
    <w:p>
      <w:pPr>
        <w:pStyle w:val="BodyText"/>
        <w:rPr/>
      </w:pPr>
      <w:r>
        <w:rPr/>
      </w:r>
    </w:p>
    <w:p>
      <w:pPr>
        <w:pStyle w:val="BodyText"/>
        <w:tabs>
          <w:tab w:val="clear" w:pos="720"/>
          <w:tab w:val="left" w:pos="1800" w:leader="none"/>
        </w:tabs>
        <w:ind w:hanging="360" w:start="1800" w:end="0"/>
        <w:rPr/>
      </w:pPr>
      <w:r>
        <w:rPr/>
        <w:t>c.</w:t>
        <w:tab/>
        <w:t xml:space="preserve">Creation of a Data Warehouse. A data warehouse is defined as a centralized database that allows aggregating information about different company exposures. Although this is a sound concept in itself (one cannot measure risk without data), an operational definition of such a database is not a trivial matter. In a company that is evolving very rapidly, creation of an inflexible, centralized database quickly becomes an obstacle to risk management. An over-centralized database becomes very costly to maintain and is never in sync with the company’s business. </w:t>
      </w:r>
    </w:p>
    <w:p>
      <w:pPr>
        <w:pStyle w:val="BodyText"/>
        <w:tabs>
          <w:tab w:val="clear" w:pos="720"/>
          <w:tab w:val="left" w:pos="1800" w:leader="none"/>
        </w:tabs>
        <w:ind w:start="1440" w:end="0"/>
        <w:rPr/>
      </w:pPr>
      <w:r>
        <w:rPr/>
      </w:r>
    </w:p>
    <w:p>
      <w:pPr>
        <w:pStyle w:val="BodyText"/>
        <w:tabs>
          <w:tab w:val="clear" w:pos="720"/>
          <w:tab w:val="left" w:pos="1800" w:leader="none"/>
        </w:tabs>
        <w:ind w:hanging="360" w:start="1800" w:end="0"/>
        <w:rPr/>
      </w:pPr>
      <w:r>
        <w:rPr/>
        <w:t>d.</w:t>
        <w:tab/>
        <w:t>Integrated management of a company’s different financial exposures. Traditionally, companies had a tendency to pigeonhole different exposures into homogeneous classes (market risk, credit risk, sovereign risk, operational risk, legal risk), ignoring in the process interactions between different types of risks and estimation of economic capital required to support different exposures (individually and jointly). In most cases, separate teams manage different exposures, without sufficient communication flows between them.</w:t>
      </w:r>
    </w:p>
    <w:p>
      <w:pPr>
        <w:pStyle w:val="BodyText"/>
        <w:rPr/>
      </w:pPr>
      <w:r>
        <w:rPr/>
      </w:r>
    </w:p>
    <w:p>
      <w:pPr>
        <w:pStyle w:val="BodyText"/>
        <w:rPr/>
      </w:pPr>
      <w:r>
        <w:rPr/>
        <w:t>Our definition of Enron’s EWRM will be provided by stating what it is, and, often more importantly, what it is not:</w:t>
      </w:r>
    </w:p>
    <w:p>
      <w:pPr>
        <w:pStyle w:val="BodyText"/>
        <w:rPr/>
      </w:pPr>
      <w:r>
        <w:rPr/>
      </w:r>
    </w:p>
    <w:p>
      <w:pPr>
        <w:pStyle w:val="BodyText"/>
        <w:ind w:hanging="360" w:start="1620" w:end="0"/>
        <w:rPr/>
      </w:pPr>
      <w:r>
        <w:rPr/>
        <w:t>a.</w:t>
        <w:tab/>
        <w:t>EWRM System is a process for systematic identification, measurement, reporting and monitoring of different exposures Enron faces, across all its operations and business units. As the list of potential exposures is practically infinite; judgment and understanding of the company’s business will be required to define the list of risk factors that will be captured within the system.</w:t>
      </w:r>
    </w:p>
    <w:p>
      <w:pPr>
        <w:pStyle w:val="BodyText"/>
        <w:ind w:start="1260" w:end="0"/>
        <w:rPr/>
      </w:pPr>
      <w:r>
        <w:rPr/>
      </w:r>
    </w:p>
    <w:p>
      <w:pPr>
        <w:pStyle w:val="BodyText"/>
        <w:ind w:hanging="360" w:start="1620" w:end="0"/>
        <w:rPr/>
      </w:pPr>
      <w:r>
        <w:rPr/>
        <w:t>b.</w:t>
        <w:tab/>
        <w:t>A family of related IT modules capturing, aggregating and measuring the exposures will support the system. This means that our objective is not to develop a holistic model of the entire company that will serve as a platform for risk measurement. Such models require too much time to build and in the case of a company as dynamic as Enron would be always obsolete.</w:t>
      </w:r>
    </w:p>
    <w:p>
      <w:pPr>
        <w:pStyle w:val="BodyText"/>
        <w:ind w:start="1260" w:end="0"/>
        <w:rPr/>
      </w:pPr>
      <w:r>
        <w:rPr/>
      </w:r>
    </w:p>
    <w:p>
      <w:pPr>
        <w:pStyle w:val="BodyText"/>
        <w:ind w:hanging="360" w:start="1620" w:end="0"/>
        <w:rPr/>
      </w:pPr>
      <w:r>
        <w:rPr/>
        <w:t>c.</w:t>
        <w:tab/>
        <w:t xml:space="preserve">The objective of each module will be measurement of the order of magnitude of an exposure to a specific risk. This means that we are not tying to reproduce in each case for the precision of the VaR system for every case. Rather, we are interested in capturing the directional impact of a change in external conditions on Enron. This approach is dictated by the imprecise and incomplete nature of the data: the information is dispersed through the organization and, in many cases, it resides in so many different locations (spreadsheets, data bases, hard copy documents. Accessing and aggregating all the information is difficult, without incurring a prohibitive cost. Of course, judgment should be used in each case and the degree of precision of each module will depend on the circumstances. </w:t>
      </w:r>
    </w:p>
    <w:p>
      <w:pPr>
        <w:pStyle w:val="BodyText"/>
        <w:ind w:start="1260" w:end="0"/>
        <w:rPr/>
      </w:pPr>
      <w:r>
        <w:rPr/>
      </w:r>
    </w:p>
    <w:p>
      <w:pPr>
        <w:pStyle w:val="BodyText"/>
        <w:ind w:hanging="360" w:start="1620" w:end="0"/>
        <w:rPr/>
      </w:pPr>
      <w:r>
        <w:rPr/>
        <w:t>d.</w:t>
        <w:tab/>
        <w:t>Each module should use to the maximum extent possible the information about the magnitude of different risks available from different units of Enron. The expertise contained in different units of Enron should not be lost in the process of building the system. The objective of the system is to provide global perspective that different units of Enron cannot easily develop without detailed knowledge of what is going on in other parts of the company.</w:t>
      </w:r>
    </w:p>
    <w:p>
      <w:pPr>
        <w:pStyle w:val="BodyText"/>
        <w:ind w:start="1260" w:end="0"/>
        <w:rPr/>
      </w:pPr>
      <w:r>
        <w:rPr/>
      </w:r>
    </w:p>
    <w:p>
      <w:pPr>
        <w:pStyle w:val="BodyText"/>
        <w:ind w:hanging="360" w:start="1620" w:end="0"/>
        <w:rPr/>
      </w:pPr>
      <w:r>
        <w:rPr/>
        <w:t>e.</w:t>
        <w:tab/>
        <w:t xml:space="preserve">The objective of this initiative is to create a system that will survive the initial effort to develop it and will be flexible enough to evolve with the company. It’s critical that the system will produce on a regular basis a set of reports for senior management that will provide information about different risk exposures and an estimate of their numerical magnitude. </w:t>
      </w:r>
    </w:p>
    <w:p>
      <w:pPr>
        <w:pStyle w:val="BodyText"/>
        <w:ind w:start="1260" w:end="0"/>
        <w:rPr/>
      </w:pPr>
      <w:r>
        <w:rPr/>
      </w:r>
    </w:p>
    <w:p>
      <w:pPr>
        <w:pStyle w:val="BodyText"/>
        <w:rPr/>
      </w:pPr>
      <w:r>
        <w:rPr/>
      </w:r>
    </w:p>
    <w:p>
      <w:pPr>
        <w:pStyle w:val="BodyText"/>
        <w:tabs>
          <w:tab w:val="clear" w:pos="720"/>
          <w:tab w:val="left" w:pos="1080" w:leader="none"/>
        </w:tabs>
        <w:ind w:start="360" w:end="0"/>
        <w:rPr>
          <w:b/>
        </w:rPr>
      </w:pPr>
      <w:r>
        <w:rPr>
          <w:b/>
        </w:rPr>
        <w:t>II.</w:t>
        <w:tab/>
        <w:t>Enron Corp. EWRM System: Outline of different modules</w:t>
      </w:r>
    </w:p>
    <w:p>
      <w:pPr>
        <w:pStyle w:val="BodyText"/>
        <w:tabs>
          <w:tab w:val="clear" w:pos="720"/>
          <w:tab w:val="left" w:pos="1080" w:leader="none"/>
        </w:tabs>
        <w:ind w:start="360" w:end="0"/>
        <w:rPr/>
      </w:pPr>
      <w:r>
        <w:rPr/>
      </w:r>
    </w:p>
    <w:p>
      <w:pPr>
        <w:pStyle w:val="BodyText"/>
        <w:ind w:start="360" w:end="0"/>
        <w:rPr/>
      </w:pPr>
      <w:r>
        <w:rPr/>
        <w:t>The EWRM System will be a family of integrated IT modules, based on the same risk measurement technology.</w:t>
      </w:r>
    </w:p>
    <w:p>
      <w:pPr>
        <w:pStyle w:val="BodyText"/>
        <w:ind w:start="360" w:end="0"/>
        <w:rPr/>
      </w:pPr>
      <w:r>
        <w:rPr/>
      </w:r>
    </w:p>
    <w:p>
      <w:pPr>
        <w:pStyle w:val="BodyText"/>
        <w:ind w:start="360" w:end="0"/>
        <w:rPr>
          <w:b/>
        </w:rPr>
      </w:pPr>
      <w:r>
        <w:rPr>
          <w:b/>
        </w:rPr>
        <w:t>II.1 Volumetric risk</w:t>
      </w:r>
    </w:p>
    <w:p>
      <w:pPr>
        <w:pStyle w:val="BodyText"/>
        <w:ind w:start="360" w:end="0"/>
        <w:rPr>
          <w:b/>
        </w:rPr>
      </w:pPr>
      <w:r>
        <w:rPr>
          <w:b/>
        </w:rPr>
      </w:r>
    </w:p>
    <w:p>
      <w:pPr>
        <w:pStyle w:val="BodyText"/>
        <w:ind w:start="360" w:end="0"/>
        <w:rPr>
          <w:b/>
        </w:rPr>
      </w:pPr>
      <w:r>
        <w:rPr>
          <w:b/>
        </w:rPr>
        <w:t>Objective. Measurement of the aggregate open position in each major commodity across all the company operations and assessment of the impact of a major price shift in commodity markets on company earnings and financial condition.</w:t>
      </w:r>
    </w:p>
    <w:p>
      <w:pPr>
        <w:pStyle w:val="BodyText"/>
        <w:ind w:start="360" w:end="0"/>
        <w:rPr>
          <w:b/>
        </w:rPr>
      </w:pPr>
      <w:r>
        <w:rPr>
          <w:b/>
        </w:rPr>
      </w:r>
    </w:p>
    <w:p>
      <w:pPr>
        <w:pStyle w:val="BodyText"/>
        <w:ind w:start="360" w:end="0"/>
        <w:rPr/>
      </w:pPr>
      <w:r>
        <w:rPr/>
        <w:t xml:space="preserve">The volumetric risk module will be designed to capture volumetric exposures across the entire company with respect to major energy commodities, as well as major market indices. The next section will deal with the exposure to major market indices. The volumetric exposures will be defined in terms of basic energy commodities (NA natural gas, UK natural gas, NA power by major trading hubs, WTI, Brent, etc.). The level of aggregation will be based on economic, as opposed to physical, fungibility. In other words, the same physical commodity may be aggregated into many different economic commodities if the market prices at different trading location have different dynamics and liquidity. On the other hand, different physical commodities (for example, WTI and #6 residual fuel oil,) may be rolled into one aggregate position. </w:t>
      </w:r>
    </w:p>
    <w:p>
      <w:pPr>
        <w:pStyle w:val="BodyText"/>
        <w:ind w:start="360" w:end="0"/>
        <w:rPr/>
      </w:pPr>
      <w:r>
        <w:rPr/>
      </w:r>
    </w:p>
    <w:p>
      <w:pPr>
        <w:pStyle w:val="BodyText"/>
        <w:ind w:start="360" w:end="0"/>
        <w:rPr/>
      </w:pPr>
      <w:r>
        <w:rPr>
          <w:b/>
        </w:rPr>
        <w:t>Sources of volumetric exposures</w:t>
      </w:r>
      <w:r>
        <w:rPr/>
        <w:t>. The volumetric exposures arise from a number of different sources. We propose to measure exposure arising from the following operations: (1) trading operations, (2) merchant portfolio investments, (3) fixed assets, (4) long-term contracts.</w:t>
      </w:r>
    </w:p>
    <w:p>
      <w:pPr>
        <w:pStyle w:val="BodyText"/>
        <w:ind w:start="360" w:end="0"/>
        <w:rPr/>
      </w:pPr>
      <w:r>
        <w:rPr/>
      </w:r>
    </w:p>
    <w:p>
      <w:pPr>
        <w:pStyle w:val="BodyText"/>
        <w:tabs>
          <w:tab w:val="clear" w:pos="720"/>
          <w:tab w:val="left" w:pos="1440" w:leader="none"/>
        </w:tabs>
        <w:ind w:hanging="360" w:start="2160" w:end="0"/>
        <w:rPr/>
      </w:pPr>
      <w:r>
        <w:rPr/>
        <w:t>1.</w:t>
        <w:tab/>
        <w:t>Trading exposures are currently captured within the value-at-risk system and are well understood and monitored.</w:t>
      </w:r>
    </w:p>
    <w:p>
      <w:pPr>
        <w:pStyle w:val="BodyText"/>
        <w:tabs>
          <w:tab w:val="clear" w:pos="720"/>
          <w:tab w:val="left" w:pos="1440" w:leader="none"/>
        </w:tabs>
        <w:ind w:hanging="360" w:start="2160" w:end="0"/>
        <w:rPr/>
      </w:pPr>
      <w:r>
        <w:rPr/>
        <w:t>2.</w:t>
        <w:tab/>
        <w:t>Merchant portfolio assets in many cases can be decomposed into specific positions in energy commodities. For example, an investment in an E&amp;P company can be interpreted as a long position in natural gas and/or crude, extending over a period of several years. It should be noted that in many cases such exposure should be measured using option-pricing approach, because a company has the ability to expand production when prices are high and slow down production flows, or even shut down the operation, when prices are low.</w:t>
      </w:r>
    </w:p>
    <w:p>
      <w:pPr>
        <w:pStyle w:val="BodyText"/>
        <w:tabs>
          <w:tab w:val="clear" w:pos="720"/>
          <w:tab w:val="left" w:pos="1440" w:leader="none"/>
        </w:tabs>
        <w:ind w:hanging="360" w:start="2160" w:end="0"/>
        <w:rPr/>
      </w:pPr>
      <w:r>
        <w:rPr/>
        <w:t>3.</w:t>
        <w:tab/>
        <w:t>Most assets owned and/or operated by Enron can be looked at as implicit long or long/short positions in major energy commodities. For example, a power plant may be seen as a long position in power and a short position in fuel. Again, most fixed assets have real options embedded in them, which make the exposures dependent on market price levels.</w:t>
      </w:r>
    </w:p>
    <w:p>
      <w:pPr>
        <w:pStyle w:val="BodyText"/>
        <w:tabs>
          <w:tab w:val="clear" w:pos="720"/>
          <w:tab w:val="left" w:pos="1440" w:leader="none"/>
        </w:tabs>
        <w:ind w:hanging="360" w:start="2160" w:end="0"/>
        <w:rPr/>
      </w:pPr>
      <w:r>
        <w:rPr/>
        <w:t>4.</w:t>
        <w:tab/>
        <w:t>Long-term contracts, such as full requirements deals and asset management contracts have explicit and implicit commodity positions embedded in them. The level of a commodity position may vary depending on the external conditions (weather), actions taken by the counterparty (demand management measures) and action taken by Enron (capital improvements envisaged in the EES deals).</w:t>
      </w:r>
    </w:p>
    <w:p>
      <w:pPr>
        <w:pStyle w:val="BodyText"/>
        <w:rPr/>
      </w:pPr>
      <w:r>
        <w:rPr/>
      </w:r>
    </w:p>
    <w:p>
      <w:pPr>
        <w:pStyle w:val="BodyText"/>
        <w:rPr/>
      </w:pPr>
      <w:r>
        <w:rPr/>
        <w:t>Assessment of volumetric risk presents in the case of Enron several serious difficulties that we must address. First, Enron’s positions in major commodities are increasingly of probabilistic nature. Second, the volumetric exposure is not equivalent to economic exposure in each case. Third, the speed at which the level of pure volumetric/economic exposure may evolve over time has become an independent risk factor. The explanations follow.</w:t>
      </w:r>
    </w:p>
    <w:p>
      <w:pPr>
        <w:pStyle w:val="BodyText"/>
        <w:rPr/>
      </w:pPr>
      <w:r>
        <w:rPr/>
      </w:r>
    </w:p>
    <w:p>
      <w:pPr>
        <w:pStyle w:val="BodyText"/>
        <w:rPr/>
      </w:pPr>
      <w:r>
        <w:rPr>
          <w:b/>
        </w:rPr>
        <w:t>Fuzziness of Enron’s volumetric exposures</w:t>
      </w:r>
      <w:r>
        <w:rPr/>
        <w:t xml:space="preserve">. The volumetric exposure with respect to different commodities is measured in the VaR system through their delta/gamma equivalents. In the case of swaps and forwards, delta is constant and gamma is always zero. In the case of an option position, delta and gamma change with time and the price of the underlying instrument (and, usually to a smaller extent, levels of other variables). Increasingly, our volumetric exposure becomes uncertain, due to changes in our business mix. The probabilistic nature of our commodity positions results from the options embedded in many our contracts and investments (sometimes, we are long these options, in many cases the options were transferred to the customers). Another factor is the conditionality built into many contracts over which we have no control. For example, the short-term positions in full requirement deals vary depending on the weather conditions. This may result in the levels of our volumetric positions exploding at the same time that it becomes more difficult to trade them. For example, when it gets hot in California, our exposure may increase significantly under conditions of higher prices and market illiquidity. </w:t>
      </w:r>
    </w:p>
    <w:p>
      <w:pPr>
        <w:pStyle w:val="BodyText"/>
        <w:rPr/>
      </w:pPr>
      <w:r>
        <w:rPr/>
      </w:r>
    </w:p>
    <w:p>
      <w:pPr>
        <w:pStyle w:val="BodyText"/>
        <w:rPr/>
      </w:pPr>
      <w:r>
        <w:rPr/>
        <w:t>The fuzziness of our volumetric positions requires a research effort to come up with a new way to summarize our exposures and present them to senior management.</w:t>
      </w:r>
    </w:p>
    <w:p>
      <w:pPr>
        <w:pStyle w:val="BodyText"/>
        <w:rPr/>
      </w:pPr>
      <w:r>
        <w:rPr/>
      </w:r>
    </w:p>
    <w:p>
      <w:pPr>
        <w:pStyle w:val="BodyText"/>
        <w:rPr/>
      </w:pPr>
      <w:r>
        <w:rPr>
          <w:b/>
        </w:rPr>
        <w:t>Volumetric vs. economic exposure.</w:t>
      </w:r>
      <w:r>
        <w:rPr/>
        <w:t xml:space="preserve"> A volumetric position in a given commodity is not necessarily equivalent to an economic exposure with respect to the market price of this commodity. For example, natural gas acquired in the UK may be priced based on several market indices that may have nothing to do with the price of natural gas. Our objective is to identify the economic exposure in the case of each volumetric position and aggregate exposures with respect to the common risk driver. This approach will require creating a cross-reference table showing how volumetric exposure translates into economic exposure.</w:t>
      </w:r>
    </w:p>
    <w:p>
      <w:pPr>
        <w:pStyle w:val="BodyText"/>
        <w:rPr/>
      </w:pPr>
      <w:r>
        <w:rPr/>
      </w:r>
    </w:p>
    <w:p>
      <w:pPr>
        <w:pStyle w:val="BodyText"/>
        <w:rPr/>
      </w:pPr>
      <w:r>
        <w:rPr>
          <w:b/>
        </w:rPr>
        <w:t>The speed of change.</w:t>
      </w:r>
      <w:r>
        <w:rPr/>
        <w:t xml:space="preserve">  As mentioned above, many volumetric positions of Enron are probabilistic. The rate at which our estimate of the mean exposure and its probability distribution will evolve over time may vary from case to case.  It’s important to capture not only the information about the potential exposure but also about the rate at which it may evolve over time.</w:t>
      </w:r>
    </w:p>
    <w:p>
      <w:pPr>
        <w:pStyle w:val="BodyText"/>
        <w:rPr/>
      </w:pPr>
      <w:r>
        <w:rPr/>
      </w:r>
    </w:p>
    <w:p>
      <w:pPr>
        <w:pStyle w:val="BodyText"/>
        <w:rPr>
          <w:b/>
        </w:rPr>
      </w:pPr>
      <w:r>
        <w:rPr>
          <w:b/>
        </w:rPr>
        <w:t xml:space="preserve">II.2 Credit Module </w:t>
      </w:r>
    </w:p>
    <w:p>
      <w:pPr>
        <w:pStyle w:val="BodyText"/>
        <w:rPr>
          <w:b/>
        </w:rPr>
      </w:pPr>
      <w:r>
        <w:rPr>
          <w:b/>
        </w:rPr>
      </w:r>
    </w:p>
    <w:p>
      <w:pPr>
        <w:pStyle w:val="BodyText"/>
        <w:rPr/>
      </w:pPr>
      <w:r>
        <w:rPr>
          <w:b/>
        </w:rPr>
        <w:t>Objective</w:t>
      </w:r>
      <w:r>
        <w:rPr/>
        <w:t xml:space="preserve">: </w:t>
      </w:r>
      <w:r>
        <w:rPr>
          <w:b/>
        </w:rPr>
        <w:t>Capturing credit exposure of Enron Corp.</w:t>
      </w:r>
    </w:p>
    <w:p>
      <w:pPr>
        <w:pStyle w:val="BodyText"/>
        <w:rPr>
          <w:b/>
        </w:rPr>
      </w:pPr>
      <w:r>
        <w:rPr>
          <w:b/>
        </w:rPr>
      </w:r>
    </w:p>
    <w:p>
      <w:pPr>
        <w:pStyle w:val="BodyText"/>
        <w:rPr/>
      </w:pPr>
      <w:r>
        <w:rPr/>
        <w:t>The original blueprints of the VaR system (1994) combined joint analysis of market and credit risks, the feature that most financial institutions are only now trying to implement. This does not necessarily mean that the credit module does not require constant improvements. I can see several major areas for improvement:</w:t>
      </w:r>
    </w:p>
    <w:p>
      <w:pPr>
        <w:pStyle w:val="BodyText"/>
        <w:rPr/>
      </w:pPr>
      <w:r>
        <w:rPr/>
      </w:r>
    </w:p>
    <w:p>
      <w:pPr>
        <w:pStyle w:val="BodyText"/>
        <w:tabs>
          <w:tab w:val="left" w:pos="720" w:leader="none"/>
        </w:tabs>
        <w:ind w:hanging="360" w:start="2520" w:end="0"/>
        <w:rPr/>
      </w:pPr>
      <w:r>
        <w:rPr/>
        <w:t>a.</w:t>
        <w:tab/>
        <w:t>Consistent measurement and aggregation of credit exposures across all units of Enron Corp., especially including EES</w:t>
      </w:r>
    </w:p>
    <w:p>
      <w:pPr>
        <w:pStyle w:val="BodyText"/>
        <w:tabs>
          <w:tab w:val="left" w:pos="720" w:leader="none"/>
        </w:tabs>
        <w:ind w:hanging="360" w:start="2520" w:end="0"/>
        <w:rPr/>
      </w:pPr>
      <w:r>
        <w:rPr/>
        <w:t>b.</w:t>
        <w:tab/>
        <w:t>Extension of credit risk estimates to vendors of services, technology and software that Enron acquires (identification of unique providers of critical technology or products)</w:t>
      </w:r>
    </w:p>
    <w:p>
      <w:pPr>
        <w:pStyle w:val="BodyText"/>
        <w:tabs>
          <w:tab w:val="left" w:pos="720" w:leader="none"/>
        </w:tabs>
        <w:ind w:hanging="360" w:start="2520" w:end="0"/>
        <w:rPr/>
      </w:pPr>
      <w:r>
        <w:rPr/>
        <w:t>c.</w:t>
        <w:tab/>
        <w:t>Quantification of credit risk resulting from willingness to pay, as opposed to ability to pay (the risk that increase with the sophistication of the legal profession)</w:t>
      </w:r>
    </w:p>
    <w:p>
      <w:pPr>
        <w:pStyle w:val="BodyText"/>
        <w:tabs>
          <w:tab w:val="left" w:pos="720" w:leader="none"/>
        </w:tabs>
        <w:ind w:hanging="360" w:start="2520" w:end="0"/>
        <w:rPr/>
      </w:pPr>
      <w:r>
        <w:rPr/>
        <w:t>d.</w:t>
        <w:tab/>
        <w:t>Assessment of feasibility of implementing new quantitative tools to measure default risk</w:t>
      </w:r>
    </w:p>
    <w:p>
      <w:pPr>
        <w:pStyle w:val="BodyText"/>
        <w:tabs>
          <w:tab w:val="left" w:pos="720" w:leader="none"/>
        </w:tabs>
        <w:ind w:hanging="360" w:start="2520" w:end="0"/>
        <w:rPr/>
      </w:pPr>
      <w:r>
        <w:rPr/>
        <w:t>e.</w:t>
        <w:tab/>
        <w:t xml:space="preserve">The sovereign risk model (which is a special case of credit risk) implemented by Brad Blesie (and re-coded by Research) should be moved to the RAC area and/or the results of this model should be reported with other EWRM outputs. </w:t>
      </w:r>
    </w:p>
    <w:p>
      <w:pPr>
        <w:pStyle w:val="BodyText"/>
        <w:rPr/>
      </w:pPr>
      <w:r>
        <w:rPr/>
      </w:r>
    </w:p>
    <w:p>
      <w:pPr>
        <w:pStyle w:val="BodyText"/>
        <w:rPr>
          <w:b/>
        </w:rPr>
      </w:pPr>
      <w:r>
        <w:rPr>
          <w:b/>
        </w:rPr>
        <w:t xml:space="preserve">II.3 F/X and I/R Modules </w:t>
      </w:r>
    </w:p>
    <w:p>
      <w:pPr>
        <w:pStyle w:val="BodyText"/>
        <w:rPr/>
      </w:pPr>
      <w:r>
        <w:rPr/>
      </w:r>
    </w:p>
    <w:p>
      <w:pPr>
        <w:pStyle w:val="BodyText"/>
        <w:rPr/>
      </w:pPr>
      <w:r>
        <w:rPr/>
        <w:t xml:space="preserve">The treatment of interest rates and currencies in EWRM System requires special comment. Currencies and interest rate instruments can be looked at as special commodities and all the comments made in section II.1 are applicable (subject to some qualifications reflecting special properties of F/X and I/R instruments). However, there is one important difference that goes back to the distinction between financial variables that represent flows and financial variables that represent stocks. The approach described in section II.1 applies to flows. In the case of interest rates and foreign exchange one cannot ignore the link between flows and stock variables, the latter being represented by the positions on the balance sheet. </w:t>
      </w:r>
    </w:p>
    <w:p>
      <w:pPr>
        <w:pStyle w:val="BodyText"/>
        <w:rPr/>
      </w:pPr>
      <w:r>
        <w:rPr/>
      </w:r>
    </w:p>
    <w:p>
      <w:pPr>
        <w:pStyle w:val="BodyText"/>
        <w:rPr/>
      </w:pPr>
      <w:r>
        <w:rPr/>
        <w:t>My recommendation is to take a dual approach to F/X and I/R positions. One approach will follow the outline in the section II.1. The second approach will extend this analysis to evaluate the riskiness of  F/X and I/R positions in the context of the firm’s balance sheet and other financial statements.</w:t>
      </w:r>
    </w:p>
    <w:p>
      <w:pPr>
        <w:pStyle w:val="BodyText"/>
        <w:rPr/>
      </w:pPr>
      <w:r>
        <w:rPr/>
      </w:r>
    </w:p>
    <w:p>
      <w:pPr>
        <w:pStyle w:val="BodyText"/>
        <w:rPr>
          <w:b/>
        </w:rPr>
      </w:pPr>
      <w:r>
        <w:rPr>
          <w:b/>
        </w:rPr>
        <w:t>II.4 Market Indices Module</w:t>
      </w:r>
    </w:p>
    <w:p>
      <w:pPr>
        <w:pStyle w:val="BodyText"/>
        <w:rPr>
          <w:b/>
        </w:rPr>
      </w:pPr>
      <w:r>
        <w:rPr>
          <w:b/>
        </w:rPr>
      </w:r>
    </w:p>
    <w:p>
      <w:pPr>
        <w:pStyle w:val="BodyText"/>
        <w:rPr>
          <w:b/>
        </w:rPr>
      </w:pPr>
      <w:r>
        <w:rPr>
          <w:b/>
        </w:rPr>
        <w:t>Objective: Capture Enron’s exposure to selected stock market and economic indices.</w:t>
      </w:r>
    </w:p>
    <w:p>
      <w:pPr>
        <w:pStyle w:val="BodyText"/>
        <w:rPr>
          <w:b/>
        </w:rPr>
      </w:pPr>
      <w:r>
        <w:rPr>
          <w:b/>
        </w:rPr>
      </w:r>
    </w:p>
    <w:p>
      <w:pPr>
        <w:pStyle w:val="BodyText"/>
        <w:rPr/>
      </w:pPr>
      <w:r>
        <w:rPr/>
        <w:t>This module will capture exposure to Enron’s business from fluctuations of different economic indices, including:</w:t>
      </w:r>
    </w:p>
    <w:p>
      <w:pPr>
        <w:pStyle w:val="BodyText"/>
        <w:rPr/>
      </w:pPr>
      <w:r>
        <w:rPr/>
      </w:r>
    </w:p>
    <w:p>
      <w:pPr>
        <w:pStyle w:val="BodyText"/>
        <w:numPr>
          <w:ilvl w:val="0"/>
          <w:numId w:val="3"/>
        </w:numPr>
        <w:tabs>
          <w:tab w:val="clear" w:pos="720"/>
          <w:tab w:val="left" w:pos="1620" w:leader="none"/>
          <w:tab w:val="left" w:pos="1800" w:leader="none"/>
        </w:tabs>
        <w:ind w:hanging="360" w:start="1620" w:end="0"/>
        <w:rPr/>
      </w:pPr>
      <w:r>
        <w:rPr/>
        <w:t>Stock market indices</w:t>
      </w:r>
    </w:p>
    <w:p>
      <w:pPr>
        <w:pStyle w:val="BodyText"/>
        <w:numPr>
          <w:ilvl w:val="0"/>
          <w:numId w:val="3"/>
        </w:numPr>
        <w:tabs>
          <w:tab w:val="clear" w:pos="720"/>
          <w:tab w:val="left" w:pos="1620" w:leader="none"/>
          <w:tab w:val="left" w:pos="1800" w:leader="none"/>
        </w:tabs>
        <w:ind w:hanging="360" w:start="1620" w:end="0"/>
        <w:rPr/>
      </w:pPr>
      <w:r>
        <w:rPr/>
        <w:t>Inflation rates in the US and other countries (UK, Brazil, etc.)</w:t>
      </w:r>
    </w:p>
    <w:p>
      <w:pPr>
        <w:pStyle w:val="BodyText"/>
        <w:ind w:start="1440" w:end="0"/>
        <w:rPr/>
      </w:pPr>
      <w:r>
        <w:rPr/>
      </w:r>
    </w:p>
    <w:p>
      <w:pPr>
        <w:pStyle w:val="BodyText"/>
        <w:rPr/>
      </w:pPr>
      <w:r>
        <w:rPr/>
        <w:t>The exposure to stock market indices results from our equity investments. The exposure to inflation indices results from our contracts with indexation to inflation (explicit or implicit, or hoped for).</w:t>
      </w:r>
    </w:p>
    <w:p>
      <w:pPr>
        <w:pStyle w:val="BodyText"/>
        <w:rPr/>
      </w:pPr>
      <w:r>
        <w:rPr/>
      </w:r>
    </w:p>
    <w:p>
      <w:pPr>
        <w:pStyle w:val="BodyText"/>
        <w:rPr>
          <w:b/>
        </w:rPr>
      </w:pPr>
      <w:r>
        <w:rPr>
          <w:b/>
        </w:rPr>
        <w:t>II.5 Asset/Liability Module</w:t>
      </w:r>
    </w:p>
    <w:p>
      <w:pPr>
        <w:pStyle w:val="BodyText"/>
        <w:rPr>
          <w:b/>
        </w:rPr>
      </w:pPr>
      <w:r>
        <w:rPr>
          <w:b/>
        </w:rPr>
      </w:r>
    </w:p>
    <w:p>
      <w:pPr>
        <w:pStyle w:val="BodyText"/>
        <w:rPr>
          <w:b/>
        </w:rPr>
      </w:pPr>
      <w:r>
        <w:rPr>
          <w:b/>
        </w:rPr>
        <w:t>Objective: Capture Enron’s exposure to interest rate risk, including both sides of the balance sheet. Capture the liquidity risk.</w:t>
      </w:r>
    </w:p>
    <w:p>
      <w:pPr>
        <w:pStyle w:val="BodyText"/>
        <w:rPr>
          <w:b/>
        </w:rPr>
      </w:pPr>
      <w:r>
        <w:rPr>
          <w:b/>
        </w:rPr>
      </w:r>
    </w:p>
    <w:p>
      <w:pPr>
        <w:pStyle w:val="BodyText"/>
        <w:rPr/>
      </w:pPr>
      <w:r>
        <w:rPr/>
        <w:t>Asset liability modeling is typically defined as:</w:t>
      </w:r>
    </w:p>
    <w:p>
      <w:pPr>
        <w:pStyle w:val="BodyText"/>
        <w:rPr/>
      </w:pPr>
      <w:r>
        <w:rPr/>
      </w:r>
    </w:p>
    <w:p>
      <w:pPr>
        <w:pStyle w:val="BodyText"/>
        <w:tabs>
          <w:tab w:val="clear" w:pos="720"/>
          <w:tab w:val="left" w:pos="1080" w:leader="none"/>
        </w:tabs>
        <w:ind w:hanging="360" w:start="720" w:end="0"/>
        <w:rPr/>
      </w:pPr>
      <w:r>
        <w:rPr/>
        <w:t>a.</w:t>
        <w:tab/>
        <w:t>Projecting the set of financial statements of a company over time,</w:t>
      </w:r>
    </w:p>
    <w:p>
      <w:pPr>
        <w:pStyle w:val="BodyText"/>
        <w:tabs>
          <w:tab w:val="clear" w:pos="720"/>
          <w:tab w:val="left" w:pos="1080" w:leader="none"/>
        </w:tabs>
        <w:ind w:hanging="360" w:start="720" w:end="0"/>
        <w:rPr/>
      </w:pPr>
      <w:r>
        <w:rPr/>
        <w:t>b.</w:t>
        <w:tab/>
        <w:t xml:space="preserve">Analyzing the impact of different risk factors on a company’s financial statements (balance sheet, income and cash flow statements) in a dynamic or static framework, under different business scenarios.  </w:t>
      </w:r>
    </w:p>
    <w:p>
      <w:pPr>
        <w:pStyle w:val="BodyText"/>
        <w:rPr/>
      </w:pPr>
      <w:r>
        <w:rPr/>
      </w:r>
    </w:p>
    <w:p>
      <w:pPr>
        <w:pStyle w:val="BodyText"/>
        <w:rPr/>
      </w:pPr>
      <w:r>
        <w:rPr/>
        <w:t>As the asset/liability analysis was developed for financial companies, modeling in this area evolves around interest rate risk. For example, in the case of an insurance company, the impact of interest rate fluctuations on the company earnings and cash flows would be analyzed under different scenarios regarding underwriting operations. There is no publicly available system / software for asset / liability modeling for a company like Enron and we have no choice but to rely on internal resources to develop the necessary tools. The objective of asset / liability modeling in our case is twofold:</w:t>
      </w:r>
    </w:p>
    <w:p>
      <w:pPr>
        <w:pStyle w:val="BodyText"/>
        <w:rPr/>
      </w:pPr>
      <w:r>
        <w:rPr/>
      </w:r>
    </w:p>
    <w:p>
      <w:pPr>
        <w:pStyle w:val="BodyText"/>
        <w:ind w:start="720" w:end="0"/>
        <w:rPr/>
      </w:pPr>
      <w:r>
        <w:rPr/>
        <w:t>a. Estimation of the impact of interest rate and exchange rate fluctuations on Enron’s balance sheet, cost of debt, and earnings, given anticipated future cash flows and unexpected financing needs (due for example to margin calls in our business). This module should help to make decisions regarding:</w:t>
      </w:r>
    </w:p>
    <w:p>
      <w:pPr>
        <w:pStyle w:val="BodyText"/>
        <w:tabs>
          <w:tab w:val="clear" w:pos="720"/>
          <w:tab w:val="left" w:pos="2700" w:leader="none"/>
        </w:tabs>
        <w:ind w:start="720" w:end="0"/>
        <w:rPr/>
      </w:pPr>
      <w:r>
        <w:rPr/>
        <w:tab/>
        <w:t>-Optimal maturity of Enron’s debt</w:t>
      </w:r>
    </w:p>
    <w:p>
      <w:pPr>
        <w:pStyle w:val="BodyText"/>
        <w:tabs>
          <w:tab w:val="clear" w:pos="720"/>
          <w:tab w:val="left" w:pos="2700" w:leader="none"/>
        </w:tabs>
        <w:ind w:start="720" w:end="0"/>
        <w:rPr/>
      </w:pPr>
      <w:r>
        <w:rPr/>
        <w:tab/>
        <w:t>-Optimal split between floating and fixed debt,</w:t>
      </w:r>
    </w:p>
    <w:p>
      <w:pPr>
        <w:pStyle w:val="BodyText"/>
        <w:tabs>
          <w:tab w:val="clear" w:pos="720"/>
          <w:tab w:val="left" w:pos="2700" w:leader="none"/>
        </w:tabs>
        <w:ind w:start="720" w:end="0"/>
        <w:rPr/>
      </w:pPr>
      <w:r>
        <w:rPr/>
      </w:r>
    </w:p>
    <w:p>
      <w:pPr>
        <w:pStyle w:val="BodyText"/>
        <w:tabs>
          <w:tab w:val="clear" w:pos="720"/>
          <w:tab w:val="left" w:pos="2700" w:leader="none"/>
        </w:tabs>
        <w:ind w:start="720" w:end="0"/>
        <w:rPr/>
      </w:pPr>
      <w:r>
        <w:rPr/>
        <w:t>b. Estimation of the possibility of a liquidity crisis.</w:t>
      </w:r>
    </w:p>
    <w:p>
      <w:pPr>
        <w:pStyle w:val="BodyText"/>
        <w:tabs>
          <w:tab w:val="clear" w:pos="720"/>
          <w:tab w:val="left" w:pos="2700" w:leader="none"/>
        </w:tabs>
        <w:ind w:start="720" w:end="0"/>
        <w:rPr/>
      </w:pPr>
      <w:r>
        <w:rPr/>
      </w:r>
    </w:p>
    <w:p>
      <w:pPr>
        <w:pStyle w:val="BodyText"/>
        <w:tabs>
          <w:tab w:val="clear" w:pos="720"/>
          <w:tab w:val="left" w:pos="2700" w:leader="none"/>
        </w:tabs>
        <w:rPr/>
      </w:pPr>
      <w:r>
        <w:rPr/>
        <w:t>The concept of liquidity crisis requires a comment. This term is used in many different meanings and denotes events of varying gravity.</w:t>
      </w:r>
    </w:p>
    <w:p>
      <w:pPr>
        <w:pStyle w:val="BodyText"/>
        <w:tabs>
          <w:tab w:val="clear" w:pos="720"/>
          <w:tab w:val="left" w:pos="2700" w:leader="none"/>
        </w:tabs>
        <w:rPr/>
      </w:pPr>
      <w:r>
        <w:rPr/>
      </w:r>
    </w:p>
    <w:p>
      <w:pPr>
        <w:pStyle w:val="BodyText"/>
        <w:tabs>
          <w:tab w:val="clear" w:pos="720"/>
          <w:tab w:val="left" w:pos="2700" w:leader="none"/>
        </w:tabs>
        <w:ind w:hanging="360" w:start="1620" w:end="0"/>
        <w:rPr/>
      </w:pPr>
      <w:r>
        <w:rPr/>
        <w:t>a.</w:t>
        <w:tab/>
        <w:t>In trading, liquidity problem means typically that the bid/offer spreads widen and transactions costs increase.</w:t>
      </w:r>
    </w:p>
    <w:p>
      <w:pPr>
        <w:pStyle w:val="BodyText"/>
        <w:tabs>
          <w:tab w:val="clear" w:pos="720"/>
          <w:tab w:val="left" w:pos="2700" w:leader="none"/>
        </w:tabs>
        <w:ind w:start="1260" w:end="0"/>
        <w:rPr/>
      </w:pPr>
      <w:r>
        <w:rPr/>
      </w:r>
    </w:p>
    <w:p>
      <w:pPr>
        <w:pStyle w:val="BodyText"/>
        <w:tabs>
          <w:tab w:val="clear" w:pos="720"/>
          <w:tab w:val="left" w:pos="2700" w:leader="none"/>
        </w:tabs>
        <w:ind w:hanging="360" w:start="1620" w:end="0"/>
        <w:rPr/>
      </w:pPr>
      <w:r>
        <w:rPr/>
        <w:t>b.</w:t>
        <w:tab/>
        <w:t>The second meaning of this term with respect to trading operations denotes a situation when the market becomes so tight that one cannot trade out of a position. Such events happen repeatedly in many markets and may or may not be serious, depending on the size of a position and/or circumstances addressed in point (c) below. An example of such a crisis is the case of a CMO market a few years ago, when the market practically disappeared for a few days. Such events, in most cases, cannot be predicted, unless one understands the microstructure of a specific market and follows the market dynamics very closely. The objective of asset/liability analysis is to flag instances of excessive, highly concentrated positions that can become lethal if the market disintegrates.</w:t>
      </w:r>
    </w:p>
    <w:p>
      <w:pPr>
        <w:pStyle w:val="BodyText"/>
        <w:tabs>
          <w:tab w:val="clear" w:pos="720"/>
          <w:tab w:val="left" w:pos="2700" w:leader="none"/>
        </w:tabs>
        <w:rPr/>
      </w:pPr>
      <w:r>
        <w:rPr/>
      </w:r>
    </w:p>
    <w:p>
      <w:pPr>
        <w:pStyle w:val="BodyText"/>
        <w:tabs>
          <w:tab w:val="clear" w:pos="720"/>
          <w:tab w:val="left" w:pos="2700" w:leader="none"/>
        </w:tabs>
        <w:ind w:hanging="360" w:start="1620" w:end="0"/>
        <w:rPr/>
      </w:pPr>
      <w:r>
        <w:rPr/>
        <w:t>c.</w:t>
        <w:tab/>
        <w:t>Liquidity crisis also denotes the conditions under which internal sources of cash fall below immediate cash needs, and a company is at the same time denied sufficient access to capital markets to borrow additional funds. In the case of a trading company (or a company with a trading operation) this is typically associated with liquidity problems as described above in points (a) and (b). A large trading loss (or a report of a trading loss) may deny a company access to short-term loans, even if a trading loss does not threaten the viability of a firm.</w:t>
      </w:r>
    </w:p>
    <w:p>
      <w:pPr>
        <w:pStyle w:val="BodyText"/>
        <w:tabs>
          <w:tab w:val="clear" w:pos="720"/>
          <w:tab w:val="left" w:pos="2700" w:leader="none"/>
        </w:tabs>
        <w:ind w:start="720" w:end="0"/>
        <w:rPr/>
      </w:pPr>
      <w:r>
        <w:rPr/>
      </w:r>
    </w:p>
    <w:p>
      <w:pPr>
        <w:pStyle w:val="BodyText"/>
        <w:rPr/>
      </w:pPr>
      <w:r>
        <w:rPr/>
        <w:t>Our approach will address these issues by looking at both sides of Enron’s balance sheet.</w:t>
      </w:r>
    </w:p>
    <w:p>
      <w:pPr>
        <w:pStyle w:val="BodyText"/>
        <w:rPr/>
      </w:pPr>
      <w:r>
        <w:rPr/>
        <w:t>This objective can be accomplished by (1) building an economic balance sheet by marking-to-market the positions of the traditional balance sheet, which is based mostly on historical costs, and possibly by capturing some positions that reside off-balance sheet but contain significant market risks. This will be followed by (2) projecting the balance sheet forward, under different scenarios for earnings, cash flows, interest rates and exchange rates. Of course, projection of a balance sheet forward requires forecasts of other financial statements. Step (1) allows evaluation of the impact of interest rates (and exchange rates) movements on the firm’s equity in the short run. We may conclude, after preliminary analysis that the sensitivity of Enron’s stock price to the fluctuations of interest rate is low and does not require in-depth analysis. Step (2) will help to analyze funding needs of Enron over time, identify potential liquidity problems, and compare the consequences of different liability structures (fixed vs. floating debt, maturity structure of debt) on the interest expense over time. The challenge we face is the difficulty of projecting financial results and cash flows of many diverse Enron units (and especially of the trading operation).</w:t>
      </w:r>
    </w:p>
    <w:p>
      <w:pPr>
        <w:pStyle w:val="BodyText"/>
        <w:rPr/>
      </w:pPr>
      <w:r>
        <w:rPr/>
      </w:r>
    </w:p>
    <w:p>
      <w:pPr>
        <w:pStyle w:val="BodyText"/>
        <w:rPr>
          <w:b/>
        </w:rPr>
      </w:pPr>
      <w:r>
        <w:rPr>
          <w:b/>
        </w:rPr>
        <w:t>II.6 Operational Risk</w:t>
      </w:r>
    </w:p>
    <w:p>
      <w:pPr>
        <w:pStyle w:val="BodyText"/>
        <w:rPr>
          <w:b/>
        </w:rPr>
      </w:pPr>
      <w:r>
        <w:rPr>
          <w:b/>
        </w:rPr>
      </w:r>
    </w:p>
    <w:p>
      <w:pPr>
        <w:pStyle w:val="BodyText"/>
        <w:rPr/>
      </w:pPr>
      <w:r>
        <w:rPr>
          <w:b/>
        </w:rPr>
        <w:t>Objective</w:t>
      </w:r>
      <w:r>
        <w:rPr/>
        <w:t xml:space="preserve">: </w:t>
      </w:r>
      <w:r>
        <w:rPr>
          <w:b/>
        </w:rPr>
        <w:t>Enumeration, monitoring and quantification of selected types of operational risks</w:t>
      </w:r>
    </w:p>
    <w:p>
      <w:pPr>
        <w:pStyle w:val="BodyText"/>
        <w:rPr>
          <w:b/>
        </w:rPr>
      </w:pPr>
      <w:r>
        <w:rPr>
          <w:b/>
        </w:rPr>
      </w:r>
    </w:p>
    <w:p>
      <w:pPr>
        <w:pStyle w:val="BodyText"/>
        <w:rPr/>
      </w:pPr>
      <w:r>
        <w:rPr/>
        <w:t xml:space="preserve">Operational risk is difficult to define. Most financial institutions tend to include in this category all risks facing them that cannot be clearly classified as market or credit exposures. In this document, operational risk will be defined as the potential for losses resulting from the breakdown in the firm’s procedures or from the errors in design of internal procedures. Operational risk may manifest itself in direct monetary losses or in intangible losses (for example, blow to the reputation of a firm) that will affect adversely the ability to generate profits in the future.  Specific instances of operational risk may be triggered by internal events or by exogenous factors over which the firm has no control. In the latter case, operational risk results from the failure by the firm to create internal mechanisms and policies that facilitate quick and efficient reaction to unpredictable external events. </w:t>
      </w:r>
    </w:p>
    <w:p>
      <w:pPr>
        <w:pStyle w:val="BodyText"/>
        <w:rPr/>
      </w:pPr>
      <w:r>
        <w:rPr/>
      </w:r>
    </w:p>
    <w:p>
      <w:pPr>
        <w:pStyle w:val="BodyText"/>
        <w:rPr/>
      </w:pPr>
      <w:r>
        <w:rPr/>
        <w:t>Given the vague and fuzzy definition of operational risk, it is difficult to develop a quantitative model that allows estimation of all possible exposures. A more rational approach is to develop a checklist for different broad categories of operational risk (based on judgment and general understanding of Enron’s business) and to provide a qualitative assessment of the state of internal procedures designed to mitigate them. This system should be supplemented by numerical assessment of some well-defined operational risks.</w:t>
      </w:r>
    </w:p>
    <w:p>
      <w:pPr>
        <w:pStyle w:val="BodyText"/>
        <w:rPr/>
      </w:pPr>
      <w:r>
        <w:rPr/>
      </w:r>
    </w:p>
    <w:p>
      <w:pPr>
        <w:pStyle w:val="BodyText"/>
        <w:rPr/>
      </w:pPr>
      <w:r>
        <w:rPr/>
        <w:t>There are many classifications of operational risks available in the risk management literature. One example (M. Crouhy, D. Galai, R. Mark) that can be used as a platform for our internal checklist is given below (I have expanded/modified their list).</w:t>
      </w:r>
    </w:p>
    <w:p>
      <w:pPr>
        <w:pStyle w:val="BodyText"/>
        <w:rPr/>
      </w:pPr>
      <w:r>
        <w:rPr/>
      </w:r>
    </w:p>
    <w:p>
      <w:pPr>
        <w:pStyle w:val="BodyText"/>
        <w:tabs>
          <w:tab w:val="left" w:pos="720" w:leader="none"/>
        </w:tabs>
        <w:ind w:hanging="360" w:start="720" w:end="0"/>
        <w:rPr/>
      </w:pPr>
      <w:r>
        <w:rPr/>
        <w:t>A.</w:t>
        <w:tab/>
        <w:t>People Risk</w:t>
      </w:r>
    </w:p>
    <w:p>
      <w:pPr>
        <w:pStyle w:val="BodyText"/>
        <w:tabs>
          <w:tab w:val="clear" w:pos="720"/>
          <w:tab w:val="left" w:pos="1440" w:leader="none"/>
        </w:tabs>
        <w:ind w:hanging="360" w:start="1440" w:end="0"/>
        <w:rPr/>
      </w:pPr>
      <w:r>
        <w:rPr/>
        <w:t>a.</w:t>
        <w:tab/>
        <w:t>Incompetence</w:t>
      </w:r>
    </w:p>
    <w:p>
      <w:pPr>
        <w:pStyle w:val="BodyText"/>
        <w:tabs>
          <w:tab w:val="clear" w:pos="720"/>
          <w:tab w:val="left" w:pos="1440" w:leader="none"/>
        </w:tabs>
        <w:ind w:hanging="360" w:start="1440" w:end="0"/>
        <w:rPr/>
      </w:pPr>
      <w:r>
        <w:rPr/>
        <w:t>b.</w:t>
        <w:tab/>
        <w:t>Fraud</w:t>
      </w:r>
    </w:p>
    <w:p>
      <w:pPr>
        <w:pStyle w:val="BodyText"/>
        <w:tabs>
          <w:tab w:val="clear" w:pos="720"/>
          <w:tab w:val="left" w:pos="1440" w:leader="none"/>
        </w:tabs>
        <w:ind w:hanging="360" w:start="1440" w:end="0"/>
        <w:rPr/>
      </w:pPr>
      <w:r>
        <w:rPr/>
        <w:t>c.</w:t>
        <w:tab/>
        <w:t>Excessive dependence on a few top level employees</w:t>
      </w:r>
    </w:p>
    <w:p>
      <w:pPr>
        <w:pStyle w:val="BodyText"/>
        <w:tabs>
          <w:tab w:val="clear" w:pos="720"/>
          <w:tab w:val="left" w:pos="1440" w:leader="none"/>
        </w:tabs>
        <w:ind w:hanging="360" w:start="1440" w:end="0"/>
        <w:rPr/>
      </w:pPr>
      <w:r>
        <w:rPr/>
        <w:t>d.</w:t>
        <w:tab/>
        <w:t>Lack of institutional memory</w:t>
      </w:r>
    </w:p>
    <w:p>
      <w:pPr>
        <w:pStyle w:val="BodyText"/>
        <w:tabs>
          <w:tab w:val="left" w:pos="720" w:leader="none"/>
        </w:tabs>
        <w:ind w:hanging="360" w:start="720" w:end="0"/>
        <w:rPr/>
      </w:pPr>
      <w:r>
        <w:rPr/>
        <w:t>B.</w:t>
        <w:tab/>
        <w:t>Process risk</w:t>
      </w:r>
    </w:p>
    <w:p>
      <w:pPr>
        <w:pStyle w:val="BodyText"/>
        <w:tabs>
          <w:tab w:val="clear" w:pos="720"/>
          <w:tab w:val="left" w:pos="1440" w:leader="none"/>
        </w:tabs>
        <w:ind w:hanging="360" w:start="1440" w:end="0"/>
        <w:rPr/>
      </w:pPr>
      <w:r>
        <w:rPr/>
        <w:t>a.</w:t>
        <w:tab/>
        <w:t>Model risk</w:t>
      </w:r>
    </w:p>
    <w:p>
      <w:pPr>
        <w:pStyle w:val="BodyText"/>
        <w:tabs>
          <w:tab w:val="clear" w:pos="720"/>
          <w:tab w:val="left" w:pos="2160" w:leader="none"/>
        </w:tabs>
        <w:ind w:hanging="180" w:start="2160" w:end="0"/>
        <w:rPr/>
      </w:pPr>
      <w:r>
        <w:rPr/>
        <w:t>i.</w:t>
        <w:tab/>
        <w:t>Wrong algorithm</w:t>
      </w:r>
    </w:p>
    <w:p>
      <w:pPr>
        <w:pStyle w:val="BodyText"/>
        <w:tabs>
          <w:tab w:val="clear" w:pos="720"/>
          <w:tab w:val="left" w:pos="2160" w:leader="none"/>
        </w:tabs>
        <w:ind w:hanging="180" w:start="2160" w:end="0"/>
        <w:rPr/>
      </w:pPr>
      <w:r>
        <w:rPr/>
        <w:t>ii.</w:t>
        <w:tab/>
        <w:t>Misuse of a correct model</w:t>
      </w:r>
    </w:p>
    <w:p>
      <w:pPr>
        <w:pStyle w:val="BodyText"/>
        <w:tabs>
          <w:tab w:val="clear" w:pos="720"/>
          <w:tab w:val="left" w:pos="2160" w:leader="none"/>
        </w:tabs>
        <w:ind w:hanging="180" w:start="2160" w:end="0"/>
        <w:rPr/>
      </w:pPr>
      <w:r>
        <w:rPr/>
        <w:t>iii.</w:t>
        <w:tab/>
        <w:t>Wrong inputs to a correct model</w:t>
      </w:r>
    </w:p>
    <w:p>
      <w:pPr>
        <w:pStyle w:val="BodyText"/>
        <w:tabs>
          <w:tab w:val="clear" w:pos="720"/>
          <w:tab w:val="left" w:pos="2160" w:leader="none"/>
        </w:tabs>
        <w:ind w:hanging="180" w:start="2160" w:end="0"/>
        <w:rPr/>
      </w:pPr>
      <w:r>
        <w:rPr/>
        <w:t>iv.</w:t>
        <w:tab/>
        <w:t>Combination of (i) – (iii) above</w:t>
      </w:r>
    </w:p>
    <w:p>
      <w:pPr>
        <w:pStyle w:val="BodyText"/>
        <w:tabs>
          <w:tab w:val="clear" w:pos="720"/>
          <w:tab w:val="left" w:pos="1440" w:leader="none"/>
        </w:tabs>
        <w:ind w:hanging="360" w:start="1440" w:end="0"/>
        <w:rPr/>
      </w:pPr>
      <w:r>
        <w:rPr/>
        <w:t>b.</w:t>
        <w:tab/>
        <w:t>Mark-to-market error</w:t>
      </w:r>
    </w:p>
    <w:p>
      <w:pPr>
        <w:pStyle w:val="BodyText"/>
        <w:tabs>
          <w:tab w:val="left" w:pos="720" w:leader="none"/>
        </w:tabs>
        <w:ind w:hanging="360" w:start="720" w:end="0"/>
        <w:rPr/>
      </w:pPr>
      <w:r>
        <w:rPr/>
        <w:t>C.</w:t>
        <w:tab/>
        <w:t>Transaction risk</w:t>
      </w:r>
    </w:p>
    <w:p>
      <w:pPr>
        <w:pStyle w:val="BodyText"/>
        <w:tabs>
          <w:tab w:val="clear" w:pos="720"/>
          <w:tab w:val="left" w:pos="1440" w:leader="none"/>
        </w:tabs>
        <w:ind w:hanging="360" w:start="1440" w:end="0"/>
        <w:rPr/>
      </w:pPr>
      <w:r>
        <w:rPr/>
        <w:t>a.</w:t>
        <w:tab/>
        <w:t>Execution error</w:t>
      </w:r>
    </w:p>
    <w:p>
      <w:pPr>
        <w:pStyle w:val="BodyText"/>
        <w:tabs>
          <w:tab w:val="clear" w:pos="720"/>
          <w:tab w:val="left" w:pos="1440" w:leader="none"/>
        </w:tabs>
        <w:ind w:hanging="360" w:start="1440" w:end="0"/>
        <w:rPr/>
      </w:pPr>
      <w:r>
        <w:rPr/>
        <w:t>b.</w:t>
        <w:tab/>
        <w:t>Product complexity/transaction complexity misperception</w:t>
      </w:r>
    </w:p>
    <w:p>
      <w:pPr>
        <w:pStyle w:val="BodyText"/>
        <w:tabs>
          <w:tab w:val="clear" w:pos="720"/>
          <w:tab w:val="left" w:pos="1440" w:leader="none"/>
        </w:tabs>
        <w:ind w:hanging="360" w:start="1440" w:end="0"/>
        <w:rPr/>
      </w:pPr>
      <w:r>
        <w:rPr/>
        <w:t>c.</w:t>
        <w:tab/>
        <w:t>Booking error</w:t>
      </w:r>
    </w:p>
    <w:p>
      <w:pPr>
        <w:pStyle w:val="BodyText"/>
        <w:tabs>
          <w:tab w:val="clear" w:pos="720"/>
          <w:tab w:val="left" w:pos="1440" w:leader="none"/>
        </w:tabs>
        <w:ind w:hanging="360" w:start="1440" w:end="0"/>
        <w:rPr/>
      </w:pPr>
      <w:r>
        <w:rPr/>
        <w:t>d.</w:t>
        <w:tab/>
        <w:t>Settlement error</w:t>
      </w:r>
    </w:p>
    <w:p>
      <w:pPr>
        <w:pStyle w:val="BodyText"/>
        <w:tabs>
          <w:tab w:val="clear" w:pos="720"/>
          <w:tab w:val="left" w:pos="1440" w:leader="none"/>
        </w:tabs>
        <w:ind w:hanging="360" w:start="1440" w:end="0"/>
        <w:rPr/>
      </w:pPr>
      <w:r>
        <w:rPr/>
        <w:t>e.</w:t>
        <w:tab/>
        <w:t>Documentation/contract risk</w:t>
      </w:r>
    </w:p>
    <w:p>
      <w:pPr>
        <w:pStyle w:val="BodyText"/>
        <w:tabs>
          <w:tab w:val="left" w:pos="720" w:leader="none"/>
        </w:tabs>
        <w:ind w:hanging="360" w:start="720" w:end="0"/>
        <w:rPr/>
      </w:pPr>
      <w:r>
        <w:rPr/>
        <w:t>D.</w:t>
        <w:tab/>
        <w:t>Operational control risk</w:t>
      </w:r>
    </w:p>
    <w:p>
      <w:pPr>
        <w:pStyle w:val="BodyText"/>
        <w:tabs>
          <w:tab w:val="clear" w:pos="720"/>
          <w:tab w:val="left" w:pos="1440" w:leader="none"/>
        </w:tabs>
        <w:ind w:hanging="360" w:start="1440" w:end="0"/>
        <w:rPr/>
      </w:pPr>
      <w:r>
        <w:rPr/>
        <w:t>a.</w:t>
        <w:tab/>
        <w:t>Limit violations</w:t>
      </w:r>
    </w:p>
    <w:p>
      <w:pPr>
        <w:pStyle w:val="BodyText"/>
        <w:tabs>
          <w:tab w:val="clear" w:pos="720"/>
          <w:tab w:val="left" w:pos="1440" w:leader="none"/>
        </w:tabs>
        <w:ind w:hanging="360" w:start="1440" w:end="0"/>
        <w:rPr/>
      </w:pPr>
      <w:r>
        <w:rPr/>
        <w:t>b.</w:t>
        <w:tab/>
        <w:t>Insufficient resources of the control unit</w:t>
      </w:r>
    </w:p>
    <w:p>
      <w:pPr>
        <w:pStyle w:val="BodyText"/>
        <w:tabs>
          <w:tab w:val="clear" w:pos="720"/>
          <w:tab w:val="left" w:pos="1440" w:leader="none"/>
        </w:tabs>
        <w:ind w:hanging="360" w:start="1440" w:end="0"/>
        <w:rPr/>
      </w:pPr>
      <w:r>
        <w:rPr/>
        <w:t>c.</w:t>
        <w:tab/>
        <w:t>Transaction volume risk</w:t>
      </w:r>
    </w:p>
    <w:p>
      <w:pPr>
        <w:pStyle w:val="BodyText"/>
        <w:tabs>
          <w:tab w:val="left" w:pos="720" w:leader="none"/>
        </w:tabs>
        <w:ind w:hanging="360" w:start="720" w:end="0"/>
        <w:rPr/>
      </w:pPr>
      <w:r>
        <w:rPr/>
        <w:t>E.</w:t>
        <w:tab/>
        <w:t>Technology risk</w:t>
      </w:r>
    </w:p>
    <w:p>
      <w:pPr>
        <w:pStyle w:val="BodyText"/>
        <w:tabs>
          <w:tab w:val="clear" w:pos="720"/>
          <w:tab w:val="left" w:pos="1440" w:leader="none"/>
        </w:tabs>
        <w:ind w:hanging="360" w:start="1440" w:end="0"/>
        <w:rPr/>
      </w:pPr>
      <w:r>
        <w:rPr/>
        <w:t>a.</w:t>
        <w:tab/>
        <w:t>Computer system failure</w:t>
      </w:r>
    </w:p>
    <w:p>
      <w:pPr>
        <w:pStyle w:val="BodyText"/>
        <w:tabs>
          <w:tab w:val="clear" w:pos="720"/>
          <w:tab w:val="left" w:pos="1440" w:leader="none"/>
        </w:tabs>
        <w:ind w:hanging="360" w:start="1440" w:end="0"/>
        <w:rPr/>
      </w:pPr>
      <w:r>
        <w:rPr/>
        <w:t>b.</w:t>
        <w:tab/>
        <w:t>Programming error</w:t>
      </w:r>
    </w:p>
    <w:p>
      <w:pPr>
        <w:pStyle w:val="BodyText"/>
        <w:tabs>
          <w:tab w:val="clear" w:pos="720"/>
          <w:tab w:val="left" w:pos="1440" w:leader="none"/>
        </w:tabs>
        <w:ind w:hanging="360" w:start="1440" w:end="0"/>
        <w:rPr/>
      </w:pPr>
      <w:r>
        <w:rPr/>
        <w:t>c.</w:t>
        <w:tab/>
        <w:t>Communications infrastructure breakdown</w:t>
      </w:r>
    </w:p>
    <w:p>
      <w:pPr>
        <w:pStyle w:val="BodyText"/>
        <w:tabs>
          <w:tab w:val="left" w:pos="720" w:leader="none"/>
        </w:tabs>
        <w:ind w:hanging="360" w:start="720" w:end="0"/>
        <w:rPr/>
      </w:pPr>
      <w:r>
        <w:rPr/>
        <w:t>F.</w:t>
        <w:tab/>
        <w:t>Natural disaster</w:t>
      </w:r>
    </w:p>
    <w:p>
      <w:pPr>
        <w:pStyle w:val="BodyText"/>
        <w:ind w:start="360" w:end="0"/>
        <w:rPr/>
      </w:pPr>
      <w:r>
        <w:rPr/>
      </w:r>
    </w:p>
    <w:p>
      <w:pPr>
        <w:pStyle w:val="BodyText"/>
        <w:ind w:start="360" w:end="0"/>
        <w:rPr/>
      </w:pPr>
      <w:r>
        <w:rPr/>
        <w:t>The items on the operational risk checklist should be ranked in terms of estimated probability and severity. This assessment will be based in most cases on judgment and will represent at best an educated guess.</w:t>
      </w:r>
    </w:p>
    <w:p>
      <w:pPr>
        <w:pStyle w:val="BodyText"/>
        <w:ind w:start="360" w:end="0"/>
        <w:rPr/>
      </w:pPr>
      <w:r>
        <w:rPr/>
      </w:r>
    </w:p>
    <w:p>
      <w:pPr>
        <w:pStyle w:val="BodyText"/>
        <w:ind w:start="360" w:end="0"/>
        <w:rPr/>
      </w:pPr>
      <w:r>
        <w:rPr/>
        <w:t>The checklist should be supported by more precise assessment of certain well-defined risks. For example, it may seem prudent to develop a quantitative model to evaluate the risk that the trading operation may be shut down because of a natural catastrophe or a man-made disaster. Such an assessment could support business decision to invest in a back-up trading floor at a different location. By the way, it seems that Enron Online initiative increases significantly the cost of such a shutdown.</w:t>
      </w:r>
    </w:p>
    <w:p>
      <w:pPr>
        <w:pStyle w:val="BodyText"/>
        <w:ind w:start="360" w:end="0"/>
        <w:rPr/>
      </w:pPr>
      <w:r>
        <w:rPr/>
      </w:r>
    </w:p>
    <w:p>
      <w:pPr>
        <w:pStyle w:val="BodyText"/>
        <w:ind w:start="360" w:end="0"/>
        <w:rPr/>
      </w:pPr>
      <w:r>
        <w:rPr/>
        <w:t xml:space="preserve">The development of a framework for operational risk management should be treated as top priority, next to the volumetric risk module. The evolution of Enron’s business (on-line trading, retail business) increases significantly operational risks and tests the existing risk management infrastructure. Many transactions are of a non-recurring nature and are a result of team activities. This increases the danger of making wrong decisions due to internal communications breakdown and incorrect assumptions that some risks have been analyzed by somebody else. This type of risk is also currently on the radar screens of the regulatory agencies and other institutions watching Enron’s business (for example, credit rating agencies). It is also worth noting that historically the biggest losses suffered by financial institutions resulted from operational failures (for example, Sumitomo and Barrings). </w:t>
      </w:r>
    </w:p>
    <w:p>
      <w:pPr>
        <w:pStyle w:val="BodyText"/>
        <w:ind w:start="360" w:end="0"/>
        <w:rPr/>
      </w:pPr>
      <w:r>
        <w:rPr/>
      </w:r>
    </w:p>
    <w:p>
      <w:pPr>
        <w:pStyle w:val="BodyText"/>
        <w:ind w:start="360" w:end="0"/>
        <w:rPr/>
      </w:pPr>
      <w:r>
        <w:rPr/>
      </w:r>
    </w:p>
    <w:p>
      <w:pPr>
        <w:pStyle w:val="BodyText"/>
        <w:ind w:start="360" w:end="0"/>
        <w:rPr>
          <w:b/>
        </w:rPr>
      </w:pPr>
      <w:r>
        <w:rPr>
          <w:b/>
        </w:rPr>
        <w:t>III. Implementation</w:t>
      </w:r>
    </w:p>
    <w:p>
      <w:pPr>
        <w:pStyle w:val="BodyText"/>
        <w:ind w:start="360" w:end="0"/>
        <w:rPr>
          <w:b/>
        </w:rPr>
      </w:pPr>
      <w:r>
        <w:rPr>
          <w:b/>
        </w:rPr>
      </w:r>
    </w:p>
    <w:p>
      <w:pPr>
        <w:pStyle w:val="BodyText"/>
        <w:ind w:start="360" w:end="0"/>
        <w:rPr/>
      </w:pPr>
      <w:r>
        <w:rPr/>
        <w:t>Implementation of the EWRM will be a subject of an off-site on January 21, 2000, with the participation of RAC and Research. We hope to identify the modules of EWRM that require immediate development and to develop an implementation timeline. Most implementation issues remain to be decided and will be the subject of a discussion at the meeting. I have only most general comments to offer.</w:t>
      </w:r>
    </w:p>
    <w:p>
      <w:pPr>
        <w:pStyle w:val="BodyText"/>
        <w:ind w:start="360" w:end="0"/>
        <w:rPr/>
      </w:pPr>
      <w:r>
        <w:rPr/>
      </w:r>
    </w:p>
    <w:p>
      <w:pPr>
        <w:pStyle w:val="BodyText"/>
        <w:ind w:start="360" w:end="0"/>
        <w:rPr/>
      </w:pPr>
      <w:r>
        <w:rPr/>
        <w:t>The Research Group will allocate one person, full time (Kevin Kindall) responsible for:</w:t>
      </w:r>
    </w:p>
    <w:p>
      <w:pPr>
        <w:pStyle w:val="BodyText"/>
        <w:ind w:start="360" w:end="0"/>
        <w:rPr/>
      </w:pPr>
      <w:r>
        <w:rPr/>
      </w:r>
    </w:p>
    <w:p>
      <w:pPr>
        <w:pStyle w:val="BodyText"/>
        <w:ind w:hanging="360" w:start="720" w:end="0"/>
        <w:rPr/>
      </w:pPr>
      <w:r>
        <w:rPr/>
        <w:t>a.</w:t>
        <w:tab/>
        <w:t>Design of the overall EWRM system at the conceptual level</w:t>
      </w:r>
    </w:p>
    <w:p>
      <w:pPr>
        <w:pStyle w:val="BodyText"/>
        <w:ind w:hanging="360" w:start="720" w:end="0"/>
        <w:rPr/>
      </w:pPr>
      <w:r>
        <w:rPr/>
        <w:t>b.</w:t>
        <w:tab/>
        <w:t>Assessment of the quality of information available from different business units</w:t>
      </w:r>
    </w:p>
    <w:p>
      <w:pPr>
        <w:pStyle w:val="BodyText"/>
        <w:ind w:hanging="360" w:start="720" w:end="0"/>
        <w:rPr/>
      </w:pPr>
      <w:r>
        <w:rPr/>
        <w:t>c.</w:t>
        <w:tab/>
        <w:t>Coordination of the effort between RAC and Research</w:t>
      </w:r>
    </w:p>
    <w:p>
      <w:pPr>
        <w:pStyle w:val="BodyText"/>
        <w:ind w:hanging="360" w:start="720" w:end="0"/>
        <w:rPr/>
      </w:pPr>
      <w:r>
        <w:rPr/>
        <w:t>d.</w:t>
        <w:tab/>
        <w:t>Development of software prototypes required for quantification of different risks</w:t>
      </w:r>
    </w:p>
    <w:p>
      <w:pPr>
        <w:pStyle w:val="BodyText"/>
        <w:ind w:hanging="360" w:start="720" w:end="0"/>
        <w:rPr/>
      </w:pPr>
      <w:r>
        <w:rPr/>
        <w:t>e.</w:t>
        <w:tab/>
        <w:t>Working with the RAC resources (analysts and programmers) on implementation of different modules</w:t>
      </w:r>
    </w:p>
    <w:p>
      <w:pPr>
        <w:pStyle w:val="BodyText"/>
        <w:ind w:start="360" w:end="0"/>
        <w:rPr/>
      </w:pPr>
      <w:r>
        <w:rPr/>
      </w:r>
    </w:p>
    <w:p>
      <w:pPr>
        <w:pStyle w:val="BodyText"/>
        <w:ind w:start="360" w:end="0"/>
        <w:rPr/>
      </w:pPr>
      <w:r>
        <w:rPr/>
        <w:t>The objective of EWRM effort is to get to a point when we can report on a regular basis the magnitude of selected risks across the entire company for senior management. It remains to be determined who will have responsibility for producing such reports.</w:t>
      </w:r>
    </w:p>
    <w:p>
      <w:pPr>
        <w:pStyle w:val="BodyText"/>
        <w:ind w:start="360" w:end="0"/>
        <w:rPr/>
      </w:pPr>
      <w:r>
        <w:rPr/>
      </w:r>
    </w:p>
    <w:p>
      <w:pPr>
        <w:pStyle w:val="BodyText"/>
        <w:ind w:start="360" w:end="0"/>
        <w:rPr/>
      </w:pPr>
      <w:r>
        <w:rPr/>
        <w:t>It seems that we need at least 2-3 analysts and 2 programmers assigned to this project. I think that it makes sense to place these resources within the RAC structure.</w:t>
      </w:r>
    </w:p>
    <w:p>
      <w:pPr>
        <w:pStyle w:val="BodyText"/>
        <w:rPr/>
      </w:pPr>
      <w:r>
        <w:rPr/>
      </w:r>
    </w:p>
    <w:p>
      <w:pPr>
        <w:pStyle w:val="BodyText"/>
        <w:rPr/>
      </w:pPr>
      <w:r>
        <w:rPr/>
      </w:r>
    </w:p>
    <w:p>
      <w:pPr>
        <w:pStyle w:val="BodyText"/>
        <w:ind w:start="360" w:end="0"/>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530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440"/>
        </w:tabs>
        <w:ind w:start="2160" w:hanging="1440"/>
      </w:pPr>
    </w:lvl>
  </w:abstractNum>
  <w:abstractNum w:abstractNumId="3">
    <w:lvl w:ilvl="0">
      <w:start w:val="1"/>
      <w:numFmt w:val="lowerLetter"/>
      <w:lvlText w:val="%1."/>
      <w:lvlJc w:val="start"/>
      <w:pPr>
        <w:tabs>
          <w:tab w:val="num" w:pos="1620"/>
        </w:tabs>
        <w:ind w:start="2880" w:hanging="1620"/>
      </w:pPr>
    </w:lvl>
  </w:abstractNum>
  <w:abstractNum w:abstractNumId="4">
    <w:lvl w:ilvl="0">
      <w:start w:val="1"/>
      <w:numFmt w:val="upperRoman"/>
      <w:lvlText w:val="%1."/>
      <w:lvlJc w:val="start"/>
      <w:pPr>
        <w:tabs>
          <w:tab w:val="num" w:pos="1080"/>
        </w:tabs>
        <w:ind w:start="1440" w:hanging="10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2000-01-18T13:49:00Z</dcterms:created>
  <dc:creator>Vince Kaminski</dc:creator>
  <dc:description/>
  <dc:language>en-CA</dc:language>
  <cp:lastModifiedBy>scrensh</cp:lastModifiedBy>
  <cp:lastPrinted>2000-01-17T09:27:00Z</cp:lastPrinted>
  <dcterms:modified xsi:type="dcterms:W3CDTF">2000-01-18T13:49:00Z</dcterms:modified>
  <cp:revision>2</cp:revision>
  <dc:subject/>
  <dc:title>Enterprise – Wide Risk Management</dc:title>
</cp:coreProperties>
</file>