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bCs/>
          <w:sz w:val="28"/>
          <w:szCs w:val="28"/>
        </w:rPr>
      </w:pPr>
      <w:r>
        <w:rPr>
          <w:b/>
          <w:bCs/>
          <w:sz w:val="28"/>
          <w:szCs w:val="28"/>
        </w:rPr>
        <w:t>UNITED STATES OF AMERICA</w:t>
      </w:r>
    </w:p>
    <w:p>
      <w:pPr>
        <w:pStyle w:val="Normal"/>
        <w:tabs>
          <w:tab w:val="clear" w:pos="720"/>
          <w:tab w:val="center" w:pos="4680" w:leader="none"/>
        </w:tabs>
        <w:jc w:val="both"/>
        <w:rPr>
          <w:b/>
          <w:bCs/>
          <w:sz w:val="28"/>
          <w:szCs w:val="28"/>
        </w:rPr>
      </w:pPr>
      <w:r>
        <w:rPr>
          <w:b/>
          <w:bCs/>
          <w:sz w:val="28"/>
          <w:szCs w:val="28"/>
        </w:rPr>
        <w:tab/>
        <w:t>BEFORE THE</w:t>
      </w:r>
    </w:p>
    <w:p>
      <w:pPr>
        <w:pStyle w:val="Normal"/>
        <w:tabs>
          <w:tab w:val="clear" w:pos="720"/>
          <w:tab w:val="center" w:pos="4680" w:leader="none"/>
        </w:tabs>
        <w:jc w:val="both"/>
        <w:rPr>
          <w:sz w:val="28"/>
          <w:szCs w:val="28"/>
        </w:rPr>
      </w:pPr>
      <w:r>
        <w:rPr>
          <w:b/>
          <w:bCs/>
          <w:sz w:val="28"/>
          <w:szCs w:val="28"/>
        </w:rPr>
        <w:tab/>
        <w:t>FEDERAL ENERGY REGULATORY COMMISSION</w:t>
      </w:r>
    </w:p>
    <w:p>
      <w:pPr>
        <w:pStyle w:val="Normal"/>
        <w:jc w:val="both"/>
        <w:rPr>
          <w:bCs/>
          <w:sz w:val="28"/>
          <w:szCs w:val="28"/>
        </w:rPr>
      </w:pPr>
      <w:r>
        <w:rPr>
          <w:bCs/>
          <w:sz w:val="28"/>
          <w:szCs w:val="28"/>
        </w:rPr>
      </w:r>
    </w:p>
    <w:p>
      <w:pPr>
        <w:pStyle w:val="Normal"/>
        <w:jc w:val="both"/>
        <w:rPr>
          <w:bCs/>
        </w:rPr>
      </w:pPr>
      <w:r>
        <w:rPr>
          <w:bCs/>
        </w:rPr>
      </w:r>
    </w:p>
    <w:p>
      <w:pPr>
        <w:pStyle w:val="Normal"/>
        <w:jc w:val="both"/>
        <w:rPr>
          <w:b/>
        </w:rPr>
      </w:pPr>
      <w:r>
        <w:rPr>
          <w:b/>
        </w:rPr>
        <w:t>Southwest Power Pool, Inc.</w:t>
        <w:tab/>
        <w:tab/>
        <w:t xml:space="preserve">     </w:t>
        <w:tab/>
        <w:t>)</w:t>
        <w:tab/>
        <w:tab/>
        <w:t>Docket No. RT01-34-002</w:t>
      </w:r>
    </w:p>
    <w:p>
      <w:pPr>
        <w:pStyle w:val="Normal"/>
        <w:jc w:val="both"/>
        <w:rPr>
          <w:b/>
        </w:rPr>
      </w:pPr>
      <w:r>
        <w:rPr>
          <w:b/>
        </w:rPr>
        <w:tab/>
        <w:tab/>
        <w:tab/>
        <w:tab/>
        <w:tab/>
        <w:t xml:space="preserve">     </w:t>
        <w:tab/>
        <w:t>)</w:t>
      </w:r>
    </w:p>
    <w:p>
      <w:pPr>
        <w:pStyle w:val="Heading4"/>
        <w:ind w:hanging="0" w:start="0"/>
        <w:rPr/>
      </w:pPr>
      <w:r>
        <w:rPr/>
        <w:t>Entergy Services, Inc.</w:t>
        <w:tab/>
        <w:tab/>
        <w:t xml:space="preserve">     </w:t>
        <w:tab/>
        <w:t>)</w:t>
        <w:tab/>
        <w:tab/>
        <w:t>Docket No. RT01-75-003</w:t>
      </w:r>
    </w:p>
    <w:p>
      <w:pPr>
        <w:pStyle w:val="Normal"/>
        <w:jc w:val="both"/>
        <w:rPr>
          <w:b/>
        </w:rPr>
      </w:pPr>
      <w:r>
        <w:rPr>
          <w:b/>
        </w:rPr>
      </w:r>
    </w:p>
    <w:p>
      <w:pPr>
        <w:pStyle w:val="Heading3"/>
        <w:ind w:hanging="0" w:start="0"/>
        <w:rPr/>
      </w:pPr>
      <w:r>
        <w:rPr/>
        <w:tab/>
        <w:tab/>
        <w:tab/>
        <w:tab/>
        <w:tab/>
        <w:tab/>
        <w:tab/>
        <w:t>Not consolidated</w:t>
      </w:r>
    </w:p>
    <w:p>
      <w:pPr>
        <w:pStyle w:val="Normal"/>
        <w:jc w:val="both"/>
        <w:rPr/>
      </w:pPr>
      <w:r>
        <w:rPr/>
      </w:r>
    </w:p>
    <w:p>
      <w:pPr>
        <w:pStyle w:val="Heading1"/>
        <w:ind w:hanging="0" w:start="0"/>
        <w:rPr/>
      </w:pPr>
      <w:r>
        <w:rPr/>
        <w:t>MOTION FOR LEAVE TO FILE COMMENTS OUT OF TIME AND COMMENTS OF INTERVENOR</w:t>
      </w:r>
    </w:p>
    <w:p>
      <w:pPr>
        <w:pStyle w:val="Normal"/>
        <w:jc w:val="center"/>
        <w:rPr>
          <w:b/>
          <w:bCs/>
          <w:sz w:val="26"/>
          <w:szCs w:val="26"/>
        </w:rPr>
      </w:pPr>
      <w:r>
        <w:rPr>
          <w:b/>
          <w:bCs/>
          <w:sz w:val="26"/>
          <w:szCs w:val="26"/>
        </w:rPr>
        <w:t>ENRON POWER MARKETING, INC.</w:t>
      </w:r>
    </w:p>
    <w:p>
      <w:pPr>
        <w:pStyle w:val="Normal"/>
        <w:jc w:val="both"/>
        <w:rPr/>
      </w:pPr>
      <w:r>
        <w:rPr/>
      </w:r>
    </w:p>
    <w:p>
      <w:pPr>
        <w:pStyle w:val="Normal"/>
        <w:spacing w:lineRule="auto" w:line="480"/>
        <w:ind w:firstLine="720" w:end="0"/>
        <w:jc w:val="both"/>
        <w:rPr/>
      </w:pPr>
      <w:r>
        <w:rPr/>
        <w:t>Pursuant to 18 C.F.R. § 385.211 (2000) and the Commission's June 6, 2001, Notices, intervenor Enron Power Marketing, Inc. ("EPMI") hereby submits its comments in the above-captioned docket, and  states as follows:</w:t>
      </w:r>
    </w:p>
    <w:p>
      <w:pPr>
        <w:pStyle w:val="Normal"/>
        <w:tabs>
          <w:tab w:val="clear" w:pos="720"/>
          <w:tab w:val="center" w:pos="4680" w:leader="none"/>
        </w:tabs>
        <w:jc w:val="both"/>
        <w:rPr>
          <w:b/>
          <w:bCs/>
          <w:sz w:val="26"/>
          <w:szCs w:val="26"/>
        </w:rPr>
      </w:pPr>
      <w:r>
        <w:rPr>
          <w:b/>
          <w:bCs/>
          <w:sz w:val="26"/>
          <w:szCs w:val="26"/>
        </w:rPr>
        <w:tab/>
        <w:t>I.</w:t>
      </w:r>
    </w:p>
    <w:p>
      <w:pPr>
        <w:pStyle w:val="Heading2"/>
        <w:ind w:hanging="0" w:start="0"/>
        <w:rPr/>
      </w:pPr>
      <w:r>
        <w:rPr/>
        <w:tab/>
        <w:t>BACKGROUND</w:t>
      </w:r>
    </w:p>
    <w:p>
      <w:pPr>
        <w:pStyle w:val="BodyText"/>
        <w:tabs>
          <w:tab w:val="left" w:pos="720" w:leader="none"/>
          <w:tab w:val="center" w:pos="4320" w:leader="none"/>
        </w:tabs>
        <w:rPr/>
      </w:pPr>
      <w:r>
        <w:rPr/>
        <w:tab/>
        <w:t>On May 25, 2001, Entergy Services, Inc., on behalf of the five Entergy Operating Companies:  Entergy Arkansas, Inc., Entergy Gulf States, Inc., Entergy Louisiana, Inc., Entergy Mississippi, Inc. and Entergy New Orleans, Inc. (together "Entergy") submitted a compliance filing in response to the Commission's March 28, 2001 order in this proceeding</w:t>
      </w:r>
      <w:r>
        <w:rPr>
          <w:rStyle w:val="FootnoteCharacters"/>
          <w:rStyle w:val="FootnoteReference"/>
        </w:rPr>
        <w:footnoteReference w:id="2"/>
      </w:r>
      <w:r>
        <w:rPr/>
        <w:t xml:space="preserve"> ("March 28 Order").  In addition to providing information on the efforts of Entergy to expand the scope of the SPP Partnership RTO, and proposed protocols for operation of the RTO, the filing outlined proposed "cornerstone principles" for congestion management and market design.  Southwest Power Pool, Inc. ("SPP") also submitted a filing on May 25, 2001 providing further information on scope and configuration and also providing information on congestion management and balancing systems, including "cornerstone principles" similar (but not identical) to those outlined by Entergy.  At the time of the filing, the "cornerstone principles" had not been approved by the SPP Board of Directors.  </w:t>
      </w:r>
    </w:p>
    <w:p>
      <w:pPr>
        <w:pStyle w:val="BodyText"/>
        <w:tabs>
          <w:tab w:val="left" w:pos="720" w:leader="none"/>
          <w:tab w:val="center" w:pos="4320" w:leader="none"/>
        </w:tabs>
        <w:spacing w:lineRule="auto" w:line="240"/>
        <w:jc w:val="center"/>
        <w:rPr>
          <w:b/>
          <w:bCs/>
        </w:rPr>
      </w:pPr>
      <w:r>
        <w:rPr>
          <w:b/>
          <w:bCs/>
        </w:rPr>
        <w:t>II.</w:t>
      </w:r>
    </w:p>
    <w:p>
      <w:pPr>
        <w:pStyle w:val="BodyText"/>
        <w:tabs>
          <w:tab w:val="left" w:pos="720" w:leader="none"/>
          <w:tab w:val="center" w:pos="4320" w:leader="none"/>
        </w:tabs>
        <w:spacing w:lineRule="auto" w:line="240"/>
        <w:jc w:val="center"/>
        <w:rPr>
          <w:b/>
          <w:bCs/>
        </w:rPr>
      </w:pPr>
      <w:r>
        <w:rPr>
          <w:b/>
          <w:bCs/>
        </w:rPr>
        <w:t>MOTION FOR LEAVE TO FILE COMMENTS OUT OF TIME</w:t>
      </w:r>
    </w:p>
    <w:p>
      <w:pPr>
        <w:pStyle w:val="BodyText"/>
        <w:tabs>
          <w:tab w:val="left" w:pos="720" w:leader="none"/>
          <w:tab w:val="center" w:pos="4320" w:leader="none"/>
        </w:tabs>
        <w:spacing w:lineRule="auto" w:line="240"/>
        <w:jc w:val="center"/>
        <w:rPr>
          <w:b/>
          <w:bCs/>
        </w:rPr>
      </w:pPr>
      <w:r>
        <w:rPr>
          <w:b/>
          <w:bCs/>
        </w:rPr>
      </w:r>
    </w:p>
    <w:p>
      <w:pPr>
        <w:pStyle w:val="BodyText"/>
        <w:tabs>
          <w:tab w:val="left" w:pos="720" w:leader="none"/>
          <w:tab w:val="center" w:pos="4320" w:leader="none"/>
        </w:tabs>
        <w:rPr/>
      </w:pPr>
      <w:r>
        <w:rPr>
          <w:b/>
          <w:bCs/>
        </w:rPr>
        <w:tab/>
      </w:r>
      <w:r>
        <w:rPr/>
        <w:t xml:space="preserve">EPMI respectfully requests that it be allowed to file its comments one day out of time.  EPMI filed timely motions to intervene in these proceedings.  EPMI actively participates in the markets that will come under the proposed SPP Partnership RTO and will therefore be directly affected by the outcome of this proceeding.   EPMI's interest cannot be adequately represented by any other party.  Therefore, good cause exists to allow EMPI to file these comments one day out of time.  Doing so will cause no prejudice to, or additional burdens upon, the existing parties, nor will it delay resolution of these proceedings. </w:t>
      </w:r>
    </w:p>
    <w:p>
      <w:pPr>
        <w:pStyle w:val="BodyText"/>
        <w:tabs>
          <w:tab w:val="left" w:pos="720" w:leader="none"/>
          <w:tab w:val="center" w:pos="4320" w:leader="none"/>
        </w:tabs>
        <w:spacing w:lineRule="auto" w:line="240"/>
        <w:jc w:val="center"/>
        <w:rPr>
          <w:b/>
          <w:bCs/>
        </w:rPr>
      </w:pPr>
      <w:r>
        <w:rPr>
          <w:b/>
          <w:bCs/>
        </w:rPr>
        <w:t>III.</w:t>
      </w:r>
    </w:p>
    <w:p>
      <w:pPr>
        <w:pStyle w:val="BodyText"/>
        <w:tabs>
          <w:tab w:val="left" w:pos="720" w:leader="none"/>
          <w:tab w:val="center" w:pos="4320" w:leader="none"/>
        </w:tabs>
        <w:jc w:val="center"/>
        <w:rPr>
          <w:b/>
          <w:bCs/>
        </w:rPr>
      </w:pPr>
      <w:r>
        <w:rPr>
          <w:b/>
          <w:bCs/>
        </w:rPr>
        <w:t>COMMENTS</w:t>
      </w:r>
    </w:p>
    <w:p>
      <w:pPr>
        <w:pStyle w:val="BodyText"/>
        <w:tabs>
          <w:tab w:val="left" w:pos="720" w:leader="none"/>
          <w:tab w:val="center" w:pos="4320" w:leader="none"/>
        </w:tabs>
        <w:rPr/>
      </w:pPr>
      <w:r>
        <w:rPr/>
        <w:tab/>
        <w:t>EMPI protested filings made by Entergy and SPP proposing the SPP Partnership RTO</w:t>
      </w:r>
      <w:r>
        <w:rPr>
          <w:rStyle w:val="FootnoteCharacters"/>
          <w:rStyle w:val="FootnoteReference"/>
        </w:rPr>
        <w:footnoteReference w:id="3"/>
      </w:r>
      <w:r>
        <w:rPr/>
        <w:t xml:space="preserve">  because of flaws in SPP's proposed allocation of physical transmission rights for congestion management, the absence from Entergy's proposal of clear procedures for management of congestion and parallel flows, and the proposed Source-and-Sink requirement of Schedule 11 of the proposed RTO rate schedule.  The Commission rejected the RTO filings in the March 28 Order, and the order was fairly limited and did not resolve or even address these issues.  Because the compliance filings therefore offer little in the way of improvement with regard to congestion management issues, EMPI has the following comments on Entergy's and SPP's May 25, 2001 filings ("Compliance Filings").</w:t>
      </w:r>
    </w:p>
    <w:p>
      <w:pPr>
        <w:pStyle w:val="BodyText"/>
        <w:tabs>
          <w:tab w:val="left" w:pos="720" w:leader="none"/>
          <w:tab w:val="center" w:pos="4320" w:leader="none"/>
        </w:tabs>
        <w:rPr/>
      </w:pPr>
      <w:r>
        <w:rPr/>
        <w:tab/>
        <w:t xml:space="preserve">Congestion management is one of the essential RTO functions enumerated in Order No. 2000.  By developing "cornerstone principles" to govern congestion management, Entergy and SPP have made an encouraging first step.  It appears that Entergy and SPP are still in the early stages of developing congestion management procedures; in fact, the general "cornerstone principles" have not yet been approved by the SPP Board of Directors.    </w:t>
      </w:r>
    </w:p>
    <w:p>
      <w:pPr>
        <w:pStyle w:val="BodyText"/>
        <w:tabs>
          <w:tab w:val="left" w:pos="720" w:leader="none"/>
          <w:tab w:val="center" w:pos="4320" w:leader="none"/>
        </w:tabs>
        <w:rPr>
          <w:bCs/>
        </w:rPr>
      </w:pPr>
      <w:r>
        <w:rPr/>
        <w:tab/>
      </w:r>
      <w:r>
        <w:rPr>
          <w:bCs/>
          <w:caps/>
        </w:rPr>
        <w:t xml:space="preserve">EPMI </w:t>
      </w:r>
      <w:r>
        <w:rPr>
          <w:bCs/>
        </w:rPr>
        <w:t xml:space="preserve">urges the Commission to address the specific issues raised in EPMI's February 7, 2001 protest in Docket No. RT01-75.  Additionally, </w:t>
      </w:r>
      <w:r>
        <w:rPr/>
        <w:t>EPMI requests that the Commission require Entergy and SPP to submit specific protocols prior to approval of the SPP Partnership RTO, so that interested parties will have an opportunity to comment.</w:t>
      </w:r>
      <w:r>
        <w:rPr>
          <w:b/>
          <w:caps/>
        </w:rPr>
        <w:tab/>
      </w:r>
    </w:p>
    <w:p>
      <w:pPr>
        <w:pStyle w:val="TitleStyle"/>
        <w:widowControl/>
        <w:spacing w:lineRule="auto" w:line="480"/>
        <w:jc w:val="both"/>
        <w:rPr>
          <w:rFonts w:ascii="Times New Roman" w:hAnsi="Times New Roman" w:cs="Times New Roman"/>
          <w:b w:val="false"/>
          <w:bCs/>
          <w:caps w:val="false"/>
          <w:smallCaps w:val="false"/>
          <w:szCs w:val="24"/>
        </w:rPr>
      </w:pPr>
      <w:r>
        <w:rPr>
          <w:rFonts w:cs="Times New Roman" w:ascii="Times New Roman" w:hAnsi="Times New Roman"/>
          <w:b w:val="false"/>
          <w:bCs/>
          <w:caps w:val="false"/>
          <w:smallCaps w:val="false"/>
          <w:szCs w:val="24"/>
        </w:rPr>
      </w:r>
    </w:p>
    <w:p>
      <w:pPr>
        <w:pStyle w:val="TitleStyle"/>
        <w:widowControl/>
        <w:spacing w:lineRule="auto" w:line="480"/>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 xml:space="preserve">Respectfully submitted, </w:t>
      </w:r>
    </w:p>
    <w:p>
      <w:pPr>
        <w:pStyle w:val="TitleStyle"/>
        <w:widowControl/>
        <w:spacing w:lineRule="auto" w:line="480"/>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ENRON POWER MARKETING, INC.</w:t>
      </w:r>
    </w:p>
    <w:p>
      <w:pPr>
        <w:pStyle w:val="TitleStyle"/>
        <w:widowControl/>
        <w:spacing w:lineRule="auto" w:line="480"/>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Susan Scott Lindberg</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Director, Federal Regulatory Affairs</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Enron Corp.</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1400 Smith Street</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Houston, TX 77002</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(713) 853-0596</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(713) 646-8160 (fax)</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t>susan.scott@enron.com</w:t>
      </w:r>
    </w:p>
    <w:p>
      <w:pPr>
        <w:pStyle w:val="TitleStyle"/>
        <w:widowControl/>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tab/>
        <w:tab/>
        <w:tab/>
        <w:tab/>
        <w:tab/>
        <w:tab/>
      </w:r>
      <w:r>
        <w:br w:type="page"/>
      </w:r>
    </w:p>
    <w:p>
      <w:pPr>
        <w:pStyle w:val="TitleStyle"/>
        <w:widowControl/>
        <w:spacing w:lineRule="auto" w:line="480"/>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r>
    </w:p>
    <w:p>
      <w:pPr>
        <w:pStyle w:val="Normal"/>
        <w:jc w:val="center"/>
        <w:rPr>
          <w:u w:val="single"/>
        </w:rPr>
      </w:pPr>
      <w:r>
        <w:rPr>
          <w:u w:val="single"/>
        </w:rPr>
        <w:t>CERTIFICATE OF SERVICE</w:t>
      </w:r>
    </w:p>
    <w:p>
      <w:pPr>
        <w:pStyle w:val="Normal"/>
        <w:jc w:val="both"/>
        <w:rPr/>
      </w:pPr>
      <w:r>
        <w:rPr/>
      </w:r>
    </w:p>
    <w:p>
      <w:pPr>
        <w:pStyle w:val="Normal"/>
        <w:spacing w:lineRule="auto" w:line="360"/>
        <w:jc w:val="both"/>
        <w:rPr/>
      </w:pPr>
      <w:r>
        <w:rPr/>
        <w:tab/>
        <w:t>I hereby certify that I have this day served the foregoing document upon each person designated on the official service list compiled by the Secretary in this proceeding.</w:t>
      </w:r>
    </w:p>
    <w:p>
      <w:pPr>
        <w:pStyle w:val="Normal"/>
        <w:spacing w:lineRule="auto" w:line="360"/>
        <w:jc w:val="both"/>
        <w:rPr/>
      </w:pPr>
      <w:r>
        <w:rPr/>
        <w:tab/>
        <w:t>Dated this 19</w:t>
      </w:r>
      <w:r>
        <w:rPr>
          <w:vertAlign w:val="superscript"/>
        </w:rPr>
        <w:t>h</w:t>
      </w:r>
      <w:r>
        <w:rPr/>
        <w:t xml:space="preserve"> day of June 2001.</w:t>
      </w:r>
    </w:p>
    <w:p>
      <w:pPr>
        <w:pStyle w:val="Normal"/>
        <w:spacing w:lineRule="auto" w:line="360"/>
        <w:jc w:val="both"/>
        <w:rPr/>
      </w:pPr>
      <w:r>
        <w:rPr/>
      </w:r>
    </w:p>
    <w:p>
      <w:pPr>
        <w:pStyle w:val="Normal"/>
        <w:spacing w:lineRule="auto" w:line="360"/>
        <w:jc w:val="both"/>
        <w:rPr/>
      </w:pPr>
      <w:r>
        <w:rPr/>
        <w:tab/>
        <w:tab/>
        <w:tab/>
        <w:tab/>
        <w:tab/>
        <w:tab/>
        <w:t>_______________________________</w:t>
      </w:r>
    </w:p>
    <w:p>
      <w:pPr>
        <w:pStyle w:val="Normal"/>
        <w:spacing w:lineRule="auto" w:line="360"/>
        <w:jc w:val="both"/>
        <w:rPr/>
      </w:pPr>
      <w:r>
        <w:rPr/>
        <w:tab/>
        <w:tab/>
        <w:tab/>
        <w:tab/>
        <w:tab/>
        <w:tab/>
        <w:t>Susan Scott Lindberg</w:t>
        <w:tab/>
        <w:tab/>
        <w:tab/>
        <w:tab/>
        <w:tab/>
        <w:tab/>
      </w:r>
    </w:p>
    <w:p>
      <w:pPr>
        <w:pStyle w:val="TitleStyle"/>
        <w:widowControl/>
        <w:spacing w:lineRule="auto" w:line="480"/>
        <w:jc w:val="both"/>
        <w:rPr>
          <w:rFonts w:ascii="Times New Roman" w:hAnsi="Times New Roman" w:cs="Times New Roman"/>
          <w:b w:val="false"/>
          <w:caps w:val="false"/>
          <w:smallCaps w:val="false"/>
          <w:szCs w:val="24"/>
        </w:rPr>
      </w:pPr>
      <w:r>
        <w:rPr>
          <w:rFonts w:cs="Times New Roman" w:ascii="Times New Roman" w:hAnsi="Times New Roman"/>
          <w:b w:val="false"/>
          <w:caps w:val="false"/>
          <w:smallCaps w:val="false"/>
          <w:szCs w:val="24"/>
        </w:rPr>
      </w:r>
    </w:p>
    <w:p>
      <w:pPr>
        <w:pStyle w:val="BodyText"/>
        <w:tabs>
          <w:tab w:val="left" w:pos="720" w:leader="none"/>
          <w:tab w:val="center" w:pos="4320" w:leader="none"/>
        </w:tabs>
        <w:rPr>
          <w:bCs/>
        </w:rPr>
      </w:pPr>
      <w:r>
        <w:rPr>
          <w:bCs/>
        </w:rPr>
        <w:t xml:space="preserve"> </w:t>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lliar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u w:val="single"/>
        </w:rPr>
        <w:t>Southwest Power Pool</w:t>
      </w:r>
      <w:r>
        <w:rPr/>
        <w:t>, 94 FERC ¶ 61,359 (2001).</w:t>
      </w:r>
    </w:p>
  </w:footnote>
  <w:footnote w:id="3">
    <w:p>
      <w:pPr>
        <w:pStyle w:val="FootnoteText"/>
        <w:rPr/>
      </w:pPr>
      <w:r>
        <w:rPr>
          <w:rStyle w:val="FootnoteCharacters"/>
        </w:rPr>
        <w:footnoteRef/>
      </w:r>
      <w:r>
        <w:rPr/>
        <w:t xml:space="preserve"> </w:t>
      </w:r>
      <w:r>
        <w:rPr/>
        <w:t>SPP made an October 13, 2000 filing in Docket No. RT01-34-000, and Entergy made an October 16, 2000 filing in Docket No. RT01-75-000, and a December 29, 2000 compliance filing, requesting approval of the SPP Partnership RTO.  EPMI protested SPP's filing on November 21, 2000 and protested Entergy's December 29, 2000 filing on February 7,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jc w:val="center"/>
      <w:outlineLvl w:val="0"/>
    </w:pPr>
    <w:rPr>
      <w:b/>
      <w:bCs/>
      <w:sz w:val="26"/>
      <w:szCs w:val="26"/>
    </w:rPr>
  </w:style>
  <w:style w:type="paragraph" w:styleId="Heading2">
    <w:name w:val="heading 2"/>
    <w:basedOn w:val="Normal"/>
    <w:next w:val="Normal"/>
    <w:qFormat/>
    <w:pPr>
      <w:keepNext w:val="true"/>
      <w:numPr>
        <w:ilvl w:val="1"/>
        <w:numId w:val="1"/>
      </w:numPr>
      <w:tabs>
        <w:tab w:val="clear" w:pos="720"/>
        <w:tab w:val="center" w:pos="4680" w:leader="none"/>
      </w:tabs>
      <w:spacing w:lineRule="auto" w:line="480"/>
      <w:jc w:val="both"/>
      <w:outlineLvl w:val="1"/>
    </w:pPr>
    <w:rPr>
      <w:b/>
      <w:bCs/>
      <w:sz w:val="26"/>
      <w:szCs w:val="26"/>
    </w:rPr>
  </w:style>
  <w:style w:type="paragraph" w:styleId="Heading3">
    <w:name w:val="heading 3"/>
    <w:basedOn w:val="Normal"/>
    <w:next w:val="Normal"/>
    <w:qFormat/>
    <w:pPr>
      <w:keepNext w:val="true"/>
      <w:numPr>
        <w:ilvl w:val="2"/>
        <w:numId w:val="1"/>
      </w:numPr>
      <w:jc w:val="end"/>
      <w:outlineLvl w:val="2"/>
    </w:pPr>
    <w:rPr>
      <w:b/>
    </w:rPr>
  </w:style>
  <w:style w:type="paragraph" w:styleId="Heading4">
    <w:name w:val="heading 4"/>
    <w:basedOn w:val="Normal"/>
    <w:next w:val="Normal"/>
    <w:qFormat/>
    <w:pPr>
      <w:keepNext w:val="true"/>
      <w:numPr>
        <w:ilvl w:val="3"/>
        <w:numId w:val="1"/>
      </w:numPr>
      <w:jc w:val="both"/>
      <w:outlineLvl w:val="3"/>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enter" w:pos="720" w:leader="none"/>
      </w:tabs>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enter">
    <w:name w:val="Center"/>
    <w:basedOn w:val="Normal"/>
    <w:qFormat/>
    <w:pPr>
      <w:widowControl w:val="false"/>
      <w:spacing w:lineRule="exact" w:line="260" w:before="260" w:after="0"/>
      <w:jc w:val="center"/>
    </w:pPr>
    <w:rPr>
      <w:rFonts w:ascii="Galliard" w:hAnsi="Galliard" w:cs="Galliard"/>
      <w:szCs w:val="20"/>
    </w:rPr>
  </w:style>
  <w:style w:type="paragraph" w:styleId="TitleStyle">
    <w:name w:val="Title Style"/>
    <w:basedOn w:val="Normal"/>
    <w:qFormat/>
    <w:pPr>
      <w:widowControl w:val="false"/>
      <w:jc w:val="center"/>
    </w:pPr>
    <w:rPr>
      <w:rFonts w:ascii="Galliard" w:hAnsi="Galliard" w:cs="Galliard"/>
      <w:b/>
      <w:caps/>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2001-06-18T18:29:00Z</dcterms:created>
  <dc:creator>sscott3</dc:creator>
  <dc:description/>
  <dc:language>en-CA</dc:language>
  <cp:lastModifiedBy>sscott3</cp:lastModifiedBy>
  <cp:lastPrinted>2001-06-19T14:53:00Z</cp:lastPrinted>
  <dcterms:modified xsi:type="dcterms:W3CDTF">2001-06-19T17:32:00Z</dcterms:modified>
  <cp:revision>8</cp:revision>
  <dc:subject/>
  <dc:title>UNITED STATES OF AMERICA</dc:title>
</cp:coreProperties>
</file>