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jc w:val="both"/>
        <w:rPr/>
      </w:pPr>
      <w:r>
        <w:rPr/>
        <w:t>5/21/01</w:t>
      </w:r>
    </w:p>
    <w:p>
      <w:pPr>
        <w:pStyle w:val="Normal"/>
        <w:jc w:val="both"/>
        <w:rPr/>
      </w:pPr>
      <w:r>
        <w:rPr/>
      </w:r>
    </w:p>
    <w:p>
      <w:pPr>
        <w:pStyle w:val="Normal"/>
        <w:jc w:val="both"/>
        <w:rPr/>
      </w:pPr>
      <w:r>
        <w:rPr/>
      </w:r>
    </w:p>
    <w:p>
      <w:pPr>
        <w:pStyle w:val="Normal"/>
        <w:jc w:val="both"/>
        <w:rPr/>
      </w:pPr>
      <w:r>
        <w:rPr/>
        <w:t>Dear Mr. Skilling</w:t>
      </w:r>
    </w:p>
    <w:p>
      <w:pPr>
        <w:pStyle w:val="Normal"/>
        <w:jc w:val="both"/>
        <w:rPr/>
      </w:pPr>
      <w:r>
        <w:rPr/>
      </w:r>
    </w:p>
    <w:p>
      <w:pPr>
        <w:pStyle w:val="Normal"/>
        <w:jc w:val="both"/>
        <w:rPr/>
      </w:pPr>
      <w:r>
        <w:rPr/>
        <w:t xml:space="preserve">I understand that Enron is looking for extremely talented BEA Weblogic programmers for its Internet development team. I would appreciate if you could forward this information to the appropriate IT groups within Enron. The VERGE team comprises some of the best programmers in the country - and we consistently exceed our customers’ expectations on a daily basis. </w:t>
      </w:r>
    </w:p>
    <w:p>
      <w:pPr>
        <w:pStyle w:val="Normal"/>
        <w:jc w:val="both"/>
        <w:rPr/>
      </w:pPr>
      <w:r>
        <w:rPr/>
      </w:r>
    </w:p>
    <w:p>
      <w:pPr>
        <w:pStyle w:val="Normal"/>
        <w:jc w:val="both"/>
        <w:rPr/>
      </w:pPr>
      <w:r>
        <w:rPr/>
        <w:t>The VERGE team is current all the latest technologies in development and deployment of web applications and mission critical enterprise applications utilizing J2EE and objects oriented analysis and design including implementation of solutions that employ leading edge technologies such as XML, persistent object stores, object relational mapping and distributed computing.</w:t>
      </w:r>
    </w:p>
    <w:p>
      <w:pPr>
        <w:pStyle w:val="Normal"/>
        <w:jc w:val="both"/>
        <w:rPr/>
      </w:pPr>
      <w:r>
        <w:rPr/>
      </w:r>
    </w:p>
    <w:p>
      <w:pPr>
        <w:pStyle w:val="Heading1"/>
        <w:ind w:hanging="0" w:start="0"/>
        <w:rPr>
          <w:b w:val="false"/>
          <w:bCs w:val="false"/>
        </w:rPr>
      </w:pPr>
      <w:r>
        <w:rPr>
          <w:b w:val="false"/>
          <w:bCs w:val="false"/>
        </w:rPr>
        <w:t xml:space="preserve">We have worked with one of largest insurance companies to create their next generation Internet applications built on top of BEA Weblogic platform. Our qualifications include: </w:t>
      </w:r>
    </w:p>
    <w:p>
      <w:pPr>
        <w:pStyle w:val="Normal"/>
        <w:jc w:val="both"/>
        <w:rPr/>
      </w:pPr>
      <w:r>
        <w:rPr/>
        <w:t>Java Programmer Certified, BEA Weblogic Certified with at least 1 year EJB development and 5 years of Server Side Java programming. And our expertise includes:</w:t>
      </w:r>
    </w:p>
    <w:p>
      <w:pPr>
        <w:pStyle w:val="Normal"/>
        <w:jc w:val="both"/>
        <w:rPr/>
      </w:pPr>
      <w:r>
        <w:rPr/>
      </w:r>
    </w:p>
    <w:p>
      <w:pPr>
        <w:pStyle w:val="Date"/>
        <w:rPr/>
      </w:pPr>
      <w:r>
        <w:rPr/>
      </w:r>
    </w:p>
    <w:tbl>
      <w:tblPr>
        <w:tblW w:w="9092" w:type="dxa"/>
        <w:jc w:val="start"/>
        <w:tblInd w:w="0" w:type="dxa"/>
        <w:tblLayout w:type="fixed"/>
        <w:tblCellMar>
          <w:top w:w="0" w:type="dxa"/>
          <w:start w:w="108" w:type="dxa"/>
          <w:bottom w:w="0" w:type="dxa"/>
          <w:end w:w="108" w:type="dxa"/>
        </w:tblCellMar>
      </w:tblPr>
      <w:tblGrid>
        <w:gridCol w:w="2864"/>
        <w:gridCol w:w="6228"/>
      </w:tblGrid>
      <w:tr>
        <w:trPr/>
        <w:tc>
          <w:tcPr>
            <w:tcW w:w="2864" w:type="dxa"/>
            <w:tcBorders/>
          </w:tcPr>
          <w:p>
            <w:pPr>
              <w:pStyle w:val="Normal"/>
              <w:rPr/>
            </w:pPr>
            <w:r>
              <w:rPr/>
              <w:t>J2EE Server</w:t>
            </w:r>
          </w:p>
        </w:tc>
        <w:tc>
          <w:tcPr>
            <w:tcW w:w="6228" w:type="dxa"/>
            <w:tcBorders/>
          </w:tcPr>
          <w:p>
            <w:pPr>
              <w:pStyle w:val="Normal"/>
              <w:rPr/>
            </w:pPr>
            <w:r>
              <w:rPr/>
              <w:t>BEA Weblogic, IBM Websphere</w:t>
            </w:r>
          </w:p>
        </w:tc>
      </w:tr>
      <w:tr>
        <w:trPr/>
        <w:tc>
          <w:tcPr>
            <w:tcW w:w="2864" w:type="dxa"/>
            <w:tcBorders/>
          </w:tcPr>
          <w:p>
            <w:pPr>
              <w:pStyle w:val="Normal"/>
              <w:rPr/>
            </w:pPr>
            <w:r>
              <w:rPr/>
              <w:t xml:space="preserve">Enterpise Security </w:t>
            </w:r>
          </w:p>
        </w:tc>
        <w:tc>
          <w:tcPr>
            <w:tcW w:w="6228" w:type="dxa"/>
            <w:tcBorders/>
          </w:tcPr>
          <w:p>
            <w:pPr>
              <w:pStyle w:val="Normal"/>
              <w:rPr/>
            </w:pPr>
            <w:r>
              <w:rPr/>
              <w:t>Netegrity Siteminder, IBM Secureway</w:t>
            </w:r>
          </w:p>
        </w:tc>
      </w:tr>
      <w:tr>
        <w:trPr/>
        <w:tc>
          <w:tcPr>
            <w:tcW w:w="2864" w:type="dxa"/>
            <w:tcBorders/>
          </w:tcPr>
          <w:p>
            <w:pPr>
              <w:pStyle w:val="Normal"/>
              <w:rPr/>
            </w:pPr>
            <w:r>
              <w:rPr/>
              <w:t>OOA/D</w:t>
            </w:r>
          </w:p>
        </w:tc>
        <w:tc>
          <w:tcPr>
            <w:tcW w:w="6228" w:type="dxa"/>
            <w:tcBorders/>
          </w:tcPr>
          <w:p>
            <w:pPr>
              <w:pStyle w:val="Normal"/>
              <w:rPr/>
            </w:pPr>
            <w:r>
              <w:rPr/>
              <w:t>UML using Rational Rose</w:t>
            </w:r>
          </w:p>
        </w:tc>
      </w:tr>
      <w:tr>
        <w:trPr/>
        <w:tc>
          <w:tcPr>
            <w:tcW w:w="2864" w:type="dxa"/>
            <w:tcBorders/>
          </w:tcPr>
          <w:p>
            <w:pPr>
              <w:pStyle w:val="Normal"/>
              <w:rPr/>
            </w:pPr>
            <w:r>
              <w:rPr/>
              <w:t xml:space="preserve">O/R Mapping </w:t>
            </w:r>
          </w:p>
        </w:tc>
        <w:tc>
          <w:tcPr>
            <w:tcW w:w="6228" w:type="dxa"/>
            <w:tcBorders/>
          </w:tcPr>
          <w:p>
            <w:pPr>
              <w:pStyle w:val="Normal"/>
              <w:rPr/>
            </w:pPr>
            <w:r>
              <w:rPr/>
              <w:t>Webgain TopLink</w:t>
            </w:r>
          </w:p>
        </w:tc>
      </w:tr>
      <w:tr>
        <w:trPr/>
        <w:tc>
          <w:tcPr>
            <w:tcW w:w="2864" w:type="dxa"/>
            <w:tcBorders/>
          </w:tcPr>
          <w:p>
            <w:pPr>
              <w:pStyle w:val="Normal"/>
              <w:rPr/>
            </w:pPr>
            <w:r>
              <w:rPr/>
              <w:t>J2EE API</w:t>
            </w:r>
          </w:p>
        </w:tc>
        <w:tc>
          <w:tcPr>
            <w:tcW w:w="6228" w:type="dxa"/>
            <w:tcBorders/>
          </w:tcPr>
          <w:p>
            <w:pPr>
              <w:pStyle w:val="Normal"/>
              <w:rPr/>
            </w:pPr>
            <w:r>
              <w:rPr/>
              <w:t>EJB, Servlet, JSP, JMS</w:t>
            </w:r>
          </w:p>
        </w:tc>
      </w:tr>
      <w:tr>
        <w:trPr/>
        <w:tc>
          <w:tcPr>
            <w:tcW w:w="2864" w:type="dxa"/>
            <w:tcBorders/>
          </w:tcPr>
          <w:p>
            <w:pPr>
              <w:pStyle w:val="Normal"/>
              <w:rPr/>
            </w:pPr>
            <w:r>
              <w:rPr/>
              <w:t>Relational DB</w:t>
            </w:r>
          </w:p>
        </w:tc>
        <w:tc>
          <w:tcPr>
            <w:tcW w:w="6228" w:type="dxa"/>
            <w:tcBorders/>
          </w:tcPr>
          <w:p>
            <w:pPr>
              <w:pStyle w:val="Normal"/>
              <w:rPr/>
            </w:pPr>
            <w:r>
              <w:rPr/>
              <w:t>MS SQL, Oracle, and DB2</w:t>
            </w:r>
          </w:p>
        </w:tc>
      </w:tr>
      <w:tr>
        <w:trPr/>
        <w:tc>
          <w:tcPr>
            <w:tcW w:w="2864" w:type="dxa"/>
            <w:tcBorders/>
          </w:tcPr>
          <w:p>
            <w:pPr>
              <w:pStyle w:val="Normal"/>
              <w:rPr/>
            </w:pPr>
            <w:r>
              <w:rPr/>
              <w:t xml:space="preserve">IDE </w:t>
            </w:r>
          </w:p>
        </w:tc>
        <w:tc>
          <w:tcPr>
            <w:tcW w:w="6228" w:type="dxa"/>
            <w:tcBorders/>
          </w:tcPr>
          <w:p>
            <w:pPr>
              <w:pStyle w:val="Normal"/>
              <w:rPr/>
            </w:pPr>
            <w:r>
              <w:rPr/>
              <w:t xml:space="preserve">Webgain Studio, Inprise Jbuilder </w:t>
            </w:r>
          </w:p>
        </w:tc>
      </w:tr>
      <w:tr>
        <w:trPr/>
        <w:tc>
          <w:tcPr>
            <w:tcW w:w="2864" w:type="dxa"/>
            <w:tcBorders/>
          </w:tcPr>
          <w:p>
            <w:pPr>
              <w:pStyle w:val="Normal"/>
              <w:rPr/>
            </w:pPr>
            <w:r>
              <w:rPr/>
              <w:t>Testing Framework</w:t>
            </w:r>
          </w:p>
        </w:tc>
        <w:tc>
          <w:tcPr>
            <w:tcW w:w="6228" w:type="dxa"/>
            <w:tcBorders/>
          </w:tcPr>
          <w:p>
            <w:pPr>
              <w:pStyle w:val="Normal"/>
              <w:rPr/>
            </w:pPr>
            <w:r>
              <w:rPr/>
              <w:t>JUnit</w:t>
            </w:r>
          </w:p>
        </w:tc>
      </w:tr>
    </w:tbl>
    <w:p>
      <w:pPr>
        <w:pStyle w:val="NormalIndent"/>
        <w:ind w:start="0" w:end="0"/>
        <w:rPr>
          <w:rFonts w:eastAsia="Times New Roman"/>
        </w:rPr>
      </w:pPr>
      <w:r>
        <w:rPr>
          <w:rFonts w:eastAsia="Times New Roman"/>
        </w:rPr>
        <w:t xml:space="preserve"> </w:t>
      </w:r>
    </w:p>
    <w:p>
      <w:pPr>
        <w:pStyle w:val="Normal"/>
        <w:rPr/>
      </w:pPr>
      <w:r>
        <w:rPr/>
      </w:r>
    </w:p>
    <w:p>
      <w:pPr>
        <w:pStyle w:val="Heading1"/>
        <w:ind w:hanging="0" w:start="0"/>
        <w:rPr>
          <w:b w:val="false"/>
          <w:bCs w:val="false"/>
        </w:rPr>
      </w:pPr>
      <w:r>
        <w:rPr>
          <w:b w:val="false"/>
          <w:bCs w:val="false"/>
        </w:rPr>
        <w:t xml:space="preserve">Thank you very much for your consideration and offering to forward this information to the appropriate parties within Enron. And if you have any questions, feel free to contact me at 512-917-6509, or </w:t>
      </w:r>
      <w:hyperlink r:id="rId2">
        <w:r>
          <w:rPr>
            <w:rStyle w:val="Hyperlink"/>
            <w:b/>
            <w:bCs/>
          </w:rPr>
          <w:t>jimyang@vergenet.com</w:t>
        </w:r>
      </w:hyperlink>
    </w:p>
    <w:p>
      <w:pPr>
        <w:pStyle w:val="Normal"/>
        <w:rPr>
          <w:b/>
          <w:bCs/>
        </w:rPr>
      </w:pPr>
      <w:r>
        <w:rPr>
          <w:b/>
          <w:bCs/>
        </w:rPr>
      </w:r>
    </w:p>
    <w:p>
      <w:pPr>
        <w:pStyle w:val="Normal"/>
        <w:rPr/>
      </w:pPr>
      <w:r>
        <w:rPr/>
        <w:t>Best wishes,</w:t>
      </w:r>
    </w:p>
    <w:p>
      <w:pPr>
        <w:pStyle w:val="Date"/>
        <w:rPr/>
      </w:pPr>
      <w:r>
        <w:rPr/>
      </w:r>
    </w:p>
    <w:p>
      <w:pPr>
        <w:pStyle w:val="Normal"/>
        <w:rPr/>
      </w:pPr>
      <w:r>
        <w:rPr/>
      </w:r>
    </w:p>
    <w:p>
      <w:pPr>
        <w:pStyle w:val="Normal"/>
        <w:rPr/>
      </w:pPr>
      <w:r>
        <w:rPr/>
      </w:r>
    </w:p>
    <w:p>
      <w:pPr>
        <w:pStyle w:val="Normal"/>
        <w:rPr/>
      </w:pPr>
      <w:r>
        <w:rPr/>
        <w:t>Jim Yang</w:t>
      </w:r>
    </w:p>
    <w:p>
      <w:pPr>
        <w:pStyle w:val="Normal"/>
        <w:rPr/>
      </w:pPr>
      <w:r>
        <w:rPr/>
        <w:t>President</w:t>
      </w:r>
    </w:p>
    <w:sectPr>
      <w:headerReference w:type="default" r:id="rId3"/>
      <w:footerReference w:type="default" r:id="rId4"/>
      <w:type w:val="nextPage"/>
      <w:pgSz w:w="12240" w:h="15840"/>
      <w:pgMar w:left="1800" w:right="180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b/>
        <w:bCs/>
        <w:sz w:val="16"/>
      </w:rPr>
    </w:pPr>
    <w:r>
      <w:rPr>
        <w:rFonts w:cs="Arial" w:ascii="Arial" w:hAnsi="Arial"/>
        <w:b/>
        <w:bCs/>
        <w:sz w:val="16"/>
      </w:rPr>
      <w:t>Verge ArcheMedia Lab, LLC – 8500 N. Mopac Suite #701, Austin, TX 78759 – 512.418.9988 – 512..597.1451 (fax)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956" w:type="dxa"/>
      <w:jc w:val="start"/>
      <w:tblInd w:w="0" w:type="dxa"/>
      <w:tblLayout w:type="fixed"/>
      <w:tblCellMar>
        <w:top w:w="0" w:type="dxa"/>
        <w:start w:w="108" w:type="dxa"/>
        <w:bottom w:w="0" w:type="dxa"/>
        <w:end w:w="108" w:type="dxa"/>
      </w:tblCellMar>
    </w:tblPr>
    <w:tblGrid>
      <w:gridCol w:w="4956"/>
    </w:tblGrid>
    <w:tr>
      <w:trPr/>
      <w:tc>
        <w:tcPr>
          <w:tcW w:w="4956" w:type="dxa"/>
          <w:tcBorders/>
        </w:tcPr>
        <w:p>
          <w:pPr>
            <w:pStyle w:val="Header"/>
            <w:rPr/>
          </w:pPr>
          <w:r>
            <w:rPr/>
            <w:drawing>
              <wp:inline distT="0" distB="0" distL="0" distR="0">
                <wp:extent cx="1609725" cy="5810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 t="-9" r="-3" b="-9"/>
                        <a:stretch>
                          <a:fillRect/>
                        </a:stretch>
                      </pic:blipFill>
                      <pic:spPr bwMode="auto">
                        <a:xfrm>
                          <a:off x="0" y="0"/>
                          <a:ext cx="1609725" cy="581025"/>
                        </a:xfrm>
                        <a:prstGeom prst="rect">
                          <a:avLst/>
                        </a:prstGeom>
                        <a:noFill/>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PMingLiU;新細明體" w:cs="Times New Roman"/>
      <w:color w:val="auto"/>
      <w:sz w:val="24"/>
      <w:szCs w:val="24"/>
      <w:lang w:val="en-US" w:eastAsia="zh-TW"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ate">
    <w:name w:val="Date"/>
    <w:basedOn w:val="Normal"/>
    <w:next w:val="Normal"/>
    <w:qFormat/>
    <w:pPr/>
    <w:rPr/>
  </w:style>
  <w:style w:type="paragraph" w:styleId="BodyTextIndent">
    <w:name w:val="Body Text Indent"/>
    <w:basedOn w:val="Normal"/>
    <w:pPr>
      <w:ind w:hanging="2340" w:start="2340" w:end="0"/>
      <w:jc w:val="both"/>
    </w:pPr>
    <w:rPr>
      <w:sz w:val="22"/>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0" w:end="0"/>
    </w:pPr>
    <w:rPr/>
  </w:style>
  <w:style w:type="paragraph" w:styleId="BodyTextFirstIndent2">
    <w:name w:val="Body Text First Indent 2"/>
    <w:basedOn w:val="BodyTextIndent"/>
    <w:qFormat/>
    <w:pPr>
      <w:spacing w:before="0" w:after="120"/>
      <w:ind w:firstLine="210" w:start="360" w:end="0"/>
      <w:jc w:val="start"/>
    </w:pPr>
    <w:rPr>
      <w:sz w:val="24"/>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PMingLiU;新細明體" w:cs="Courier New"/>
      <w:color w:val="auto"/>
      <w:sz w:val="20"/>
      <w:szCs w:val="20"/>
      <w:lang w:val="en-US" w:eastAsia="zh-TW"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imyang@vergenet.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2001-05-22T16:57:00Z</dcterms:created>
  <dc:creator>Jim Yang</dc:creator>
  <dc:description/>
  <dc:language>en-CA</dc:language>
  <cp:lastModifiedBy>daniel hutton</cp:lastModifiedBy>
  <cp:lastPrinted>2001-04-02T09:00:00Z</cp:lastPrinted>
  <dcterms:modified xsi:type="dcterms:W3CDTF">2001-05-22T17:01:00Z</dcterms:modified>
  <cp:revision>4</cp:revision>
  <dc:subject/>
  <dc:title>Name of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-1281626124</vt:r8>
  </property>
  <property fmtid="{D5CDD505-2E9C-101B-9397-08002B2CF9AE}" pid="3" name="_AuthorEmail">
    <vt:lpwstr>jimyang@vergenet.com</vt:lpwstr>
  </property>
  <property fmtid="{D5CDD505-2E9C-101B-9397-08002B2CF9AE}" pid="4" name="_AuthorEmailDisplayName">
    <vt:lpwstr>Jim Yang</vt:lpwstr>
  </property>
  <property fmtid="{D5CDD505-2E9C-101B-9397-08002B2CF9AE}" pid="5" name="_EmailSubject">
    <vt:lpwstr>Enron IT Development Group</vt:lpwstr>
  </property>
  <property fmtid="{D5CDD505-2E9C-101B-9397-08002B2CF9AE}" pid="6" name="_PreviousAdHocReviewCycleID">
    <vt:r8>895700625</vt:r8>
  </property>
</Properties>
</file>