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18" w:space="1" w:color="000000"/>
          <w:left w:val="single" w:sz="18" w:space="4" w:color="000000"/>
          <w:bottom w:val="single" w:sz="18" w:space="1" w:color="000000"/>
          <w:right w:val="single" w:sz="18" w:space="4" w:color="000000"/>
        </w:pBdr>
        <w:rPr/>
      </w:pPr>
      <w:r>
        <w:rPr/>
        <w:t>2000 ENRON STRATEGIC GOALS</w:t>
      </w:r>
    </w:p>
    <w:p>
      <w:pPr>
        <w:pStyle w:val="Normal"/>
        <w:jc w:val="both"/>
        <w:rPr/>
      </w:pPr>
      <w:r>
        <w:rPr/>
      </w:r>
    </w:p>
    <w:p>
      <w:pPr>
        <w:pStyle w:val="Normal"/>
        <w:jc w:val="both"/>
        <w:rPr/>
      </w:pPr>
      <w:r>
        <w:rPr/>
      </w:r>
    </w:p>
    <w:p>
      <w:pPr>
        <w:pStyle w:val="Heading3"/>
        <w:ind w:hanging="0" w:start="0"/>
        <w:rPr/>
      </w:pPr>
      <w:r>
        <w:rPr/>
        <w:t>OVERALL</w:t>
      </w:r>
    </w:p>
    <w:p>
      <w:pPr>
        <w:pStyle w:val="Normal"/>
        <w:jc w:val="both"/>
        <w:rPr>
          <w:sz w:val="20"/>
        </w:rPr>
      </w:pPr>
      <w:r>
        <w:rPr>
          <w:sz w:val="20"/>
        </w:rPr>
      </w:r>
    </w:p>
    <w:p>
      <w:pPr>
        <w:pStyle w:val="Normal"/>
        <w:numPr>
          <w:ilvl w:val="0"/>
          <w:numId w:val="40"/>
        </w:numPr>
        <w:jc w:val="both"/>
        <w:rPr>
          <w:sz w:val="20"/>
        </w:rPr>
      </w:pPr>
      <w:r>
        <w:rPr>
          <w:sz w:val="20"/>
        </w:rPr>
        <w:t>Achieve earnings and funds flow targets included in the 2000 Plan.</w:t>
      </w:r>
    </w:p>
    <w:p>
      <w:pPr>
        <w:pStyle w:val="Normal"/>
        <w:jc w:val="both"/>
        <w:rPr>
          <w:sz w:val="20"/>
        </w:rPr>
      </w:pPr>
      <w:r>
        <w:rPr>
          <w:sz w:val="20"/>
        </w:rPr>
      </w:r>
    </w:p>
    <w:p>
      <w:pPr>
        <w:pStyle w:val="Normal"/>
        <w:numPr>
          <w:ilvl w:val="0"/>
          <w:numId w:val="33"/>
        </w:numPr>
        <w:jc w:val="both"/>
        <w:rPr>
          <w:sz w:val="20"/>
        </w:rPr>
      </w:pPr>
      <w:r>
        <w:rPr>
          <w:sz w:val="20"/>
        </w:rPr>
        <w:t>Complete sale (and total risk transfer) of merchant assets so that total merchant investments are $200 million or less by yearend.</w:t>
      </w:r>
    </w:p>
    <w:p>
      <w:pPr>
        <w:pStyle w:val="Normal"/>
        <w:jc w:val="both"/>
        <w:rPr>
          <w:sz w:val="20"/>
        </w:rPr>
      </w:pPr>
      <w:r>
        <w:rPr>
          <w:sz w:val="20"/>
        </w:rPr>
      </w:r>
    </w:p>
    <w:p>
      <w:pPr>
        <w:pStyle w:val="Normal"/>
        <w:numPr>
          <w:ilvl w:val="0"/>
          <w:numId w:val="34"/>
        </w:numPr>
        <w:jc w:val="both"/>
        <w:rPr>
          <w:sz w:val="20"/>
        </w:rPr>
      </w:pPr>
      <w:r>
        <w:rPr>
          <w:sz w:val="20"/>
        </w:rPr>
        <w:t>Maintain premium valuation multiple for Enron.  Achieve total return to shareholders in excess of our peer group and the S&amp;P 500 index.</w:t>
      </w:r>
    </w:p>
    <w:p>
      <w:pPr>
        <w:pStyle w:val="Normal"/>
        <w:jc w:val="both"/>
        <w:rPr>
          <w:sz w:val="20"/>
        </w:rPr>
      </w:pPr>
      <w:r>
        <w:rPr>
          <w:sz w:val="20"/>
        </w:rPr>
      </w:r>
    </w:p>
    <w:p>
      <w:pPr>
        <w:pStyle w:val="Normal"/>
        <w:numPr>
          <w:ilvl w:val="0"/>
          <w:numId w:val="11"/>
        </w:numPr>
        <w:jc w:val="both"/>
        <w:rPr>
          <w:sz w:val="20"/>
        </w:rPr>
      </w:pPr>
      <w:r>
        <w:rPr>
          <w:sz w:val="20"/>
        </w:rPr>
        <w:t>Improve return on book equity to at least 13.5%.</w:t>
      </w:r>
    </w:p>
    <w:p>
      <w:pPr>
        <w:pStyle w:val="Normal"/>
        <w:jc w:val="both"/>
        <w:rPr>
          <w:sz w:val="20"/>
        </w:rPr>
      </w:pPr>
      <w:r>
        <w:rPr>
          <w:sz w:val="20"/>
        </w:rPr>
      </w:r>
    </w:p>
    <w:p>
      <w:pPr>
        <w:pStyle w:val="Heading3"/>
        <w:ind w:hanging="0" w:start="0"/>
        <w:rPr/>
      </w:pPr>
      <w:r>
        <w:rPr/>
        <w:t>WHOLESALE ENERGY OPERATIONS AND SERVICES</w:t>
      </w:r>
    </w:p>
    <w:p>
      <w:pPr>
        <w:pStyle w:val="Normal"/>
        <w:jc w:val="both"/>
        <w:rPr>
          <w:b/>
          <w:sz w:val="20"/>
          <w:u w:val="single"/>
        </w:rPr>
      </w:pPr>
      <w:r>
        <w:rPr>
          <w:b/>
          <w:sz w:val="20"/>
          <w:u w:val="single"/>
        </w:rPr>
      </w:r>
    </w:p>
    <w:p>
      <w:pPr>
        <w:pStyle w:val="Normal"/>
        <w:jc w:val="both"/>
        <w:rPr>
          <w:b/>
          <w:sz w:val="20"/>
          <w:u w:val="single"/>
        </w:rPr>
      </w:pPr>
      <w:r>
        <w:rPr>
          <w:b/>
          <w:sz w:val="20"/>
          <w:u w:val="single"/>
        </w:rPr>
      </w:r>
    </w:p>
    <w:p>
      <w:pPr>
        <w:pStyle w:val="Normal"/>
        <w:jc w:val="both"/>
        <w:rPr>
          <w:b/>
          <w:sz w:val="20"/>
          <w:u w:val="single"/>
        </w:rPr>
      </w:pPr>
      <w:r>
        <w:rPr>
          <w:b/>
          <w:sz w:val="20"/>
          <w:u w:val="single"/>
        </w:rPr>
        <w:t>North America</w:t>
      </w:r>
    </w:p>
    <w:p>
      <w:pPr>
        <w:pStyle w:val="Normal"/>
        <w:jc w:val="both"/>
        <w:rPr>
          <w:b/>
          <w:sz w:val="20"/>
          <w:u w:val="single"/>
        </w:rPr>
      </w:pPr>
      <w:r>
        <w:rPr>
          <w:b/>
          <w:sz w:val="20"/>
          <w:u w:val="single"/>
        </w:rPr>
      </w:r>
    </w:p>
    <w:p>
      <w:pPr>
        <w:pStyle w:val="Normal"/>
        <w:numPr>
          <w:ilvl w:val="0"/>
          <w:numId w:val="23"/>
        </w:numPr>
        <w:tabs>
          <w:tab w:val="clear" w:pos="720"/>
          <w:tab w:val="left" w:pos="360" w:leader="none"/>
        </w:tabs>
        <w:ind w:hanging="144" w:start="144" w:end="0"/>
        <w:jc w:val="both"/>
        <w:rPr>
          <w:sz w:val="20"/>
        </w:rPr>
      </w:pPr>
      <w:r>
        <w:rPr>
          <w:sz w:val="20"/>
        </w:rPr>
        <w:t>Achieve a 20% growth in total energy volumes.</w:t>
      </w:r>
    </w:p>
    <w:p>
      <w:pPr>
        <w:pStyle w:val="Normal"/>
        <w:jc w:val="both"/>
        <w:rPr>
          <w:sz w:val="20"/>
        </w:rPr>
      </w:pPr>
      <w:r>
        <w:rPr>
          <w:sz w:val="20"/>
        </w:rPr>
      </w:r>
    </w:p>
    <w:p>
      <w:pPr>
        <w:pStyle w:val="Normal"/>
        <w:numPr>
          <w:ilvl w:val="0"/>
          <w:numId w:val="12"/>
        </w:numPr>
        <w:jc w:val="both"/>
        <w:rPr>
          <w:sz w:val="20"/>
        </w:rPr>
      </w:pPr>
      <w:r>
        <w:rPr>
          <w:sz w:val="20"/>
        </w:rPr>
        <w:t>Establish industrial business with $100 million of gross margin/and execute energy outsourcing transactions with a total contract value of $150 million.</w:t>
      </w:r>
    </w:p>
    <w:p>
      <w:pPr>
        <w:pStyle w:val="Normal"/>
        <w:jc w:val="both"/>
        <w:rPr>
          <w:sz w:val="20"/>
        </w:rPr>
      </w:pPr>
      <w:r>
        <w:rPr>
          <w:sz w:val="20"/>
        </w:rPr>
      </w:r>
    </w:p>
    <w:p>
      <w:pPr>
        <w:pStyle w:val="Normal"/>
        <w:numPr>
          <w:ilvl w:val="0"/>
          <w:numId w:val="23"/>
        </w:numPr>
        <w:tabs>
          <w:tab w:val="clear" w:pos="720"/>
          <w:tab w:val="left" w:pos="360" w:leader="none"/>
        </w:tabs>
        <w:ind w:hanging="144" w:start="144" w:end="0"/>
        <w:jc w:val="both"/>
        <w:rPr>
          <w:sz w:val="20"/>
        </w:rPr>
      </w:pPr>
      <w:r>
        <w:rPr>
          <w:sz w:val="20"/>
        </w:rPr>
        <w:t>Complete 3 significant utility outsourcing transactions.</w:t>
      </w:r>
    </w:p>
    <w:p>
      <w:pPr>
        <w:pStyle w:val="Normal"/>
        <w:jc w:val="both"/>
        <w:rPr>
          <w:sz w:val="20"/>
        </w:rPr>
      </w:pPr>
      <w:r>
        <w:rPr>
          <w:sz w:val="20"/>
        </w:rPr>
      </w:r>
    </w:p>
    <w:p>
      <w:pPr>
        <w:pStyle w:val="Heading1"/>
        <w:ind w:hanging="0" w:start="0"/>
        <w:jc w:val="both"/>
        <w:rPr/>
      </w:pPr>
      <w:r>
        <w:rPr/>
        <w:t>Europe</w:t>
      </w:r>
    </w:p>
    <w:p>
      <w:pPr>
        <w:pStyle w:val="Normal"/>
        <w:jc w:val="both"/>
        <w:rPr>
          <w:sz w:val="20"/>
        </w:rPr>
      </w:pPr>
      <w:r>
        <w:rPr>
          <w:sz w:val="20"/>
        </w:rPr>
      </w:r>
    </w:p>
    <w:p>
      <w:pPr>
        <w:pStyle w:val="Normal"/>
        <w:numPr>
          <w:ilvl w:val="0"/>
          <w:numId w:val="40"/>
        </w:numPr>
        <w:jc w:val="both"/>
        <w:rPr>
          <w:sz w:val="20"/>
        </w:rPr>
      </w:pPr>
      <w:r>
        <w:rPr>
          <w:sz w:val="20"/>
        </w:rPr>
        <w:t>Generate at least $200 million of gross margin outside of the U.K.</w:t>
      </w:r>
    </w:p>
    <w:p>
      <w:pPr>
        <w:pStyle w:val="Normal"/>
        <w:jc w:val="both"/>
        <w:rPr>
          <w:sz w:val="20"/>
        </w:rPr>
      </w:pPr>
      <w:r>
        <w:rPr>
          <w:sz w:val="20"/>
        </w:rPr>
      </w:r>
    </w:p>
    <w:p>
      <w:pPr>
        <w:pStyle w:val="BodyText"/>
        <w:numPr>
          <w:ilvl w:val="0"/>
          <w:numId w:val="8"/>
        </w:numPr>
        <w:tabs>
          <w:tab w:val="clear" w:pos="540"/>
        </w:tabs>
        <w:jc w:val="both"/>
        <w:rPr/>
      </w:pPr>
      <w:r>
        <w:rPr/>
        <w:t>Financially close and monetize 3 infrastructure projects.</w:t>
      </w:r>
    </w:p>
    <w:p>
      <w:pPr>
        <w:pStyle w:val="Normal"/>
        <w:jc w:val="both"/>
        <w:rPr>
          <w:sz w:val="20"/>
        </w:rPr>
      </w:pPr>
      <w:r>
        <w:rPr>
          <w:sz w:val="20"/>
        </w:rPr>
      </w:r>
    </w:p>
    <w:p>
      <w:pPr>
        <w:pStyle w:val="Normal"/>
        <w:numPr>
          <w:ilvl w:val="0"/>
          <w:numId w:val="8"/>
        </w:numPr>
        <w:jc w:val="both"/>
        <w:rPr>
          <w:b/>
          <w:sz w:val="20"/>
          <w:u w:val="single"/>
        </w:rPr>
      </w:pPr>
      <w:r>
        <w:rPr>
          <w:sz w:val="20"/>
        </w:rPr>
        <w:t>Decrease Eastern exposure by $250 million.</w:t>
      </w:r>
    </w:p>
    <w:p>
      <w:pPr>
        <w:pStyle w:val="Heading2"/>
        <w:ind w:hanging="0" w:start="0"/>
        <w:jc w:val="both"/>
        <w:rPr>
          <w:b w:val="false"/>
          <w:color w:val="auto"/>
          <w:sz w:val="20"/>
          <w:u w:val="single"/>
        </w:rPr>
      </w:pPr>
      <w:r>
        <w:rPr>
          <w:b w:val="false"/>
          <w:color w:val="auto"/>
          <w:sz w:val="20"/>
          <w:u w:val="single"/>
        </w:rPr>
      </w:r>
    </w:p>
    <w:p>
      <w:pPr>
        <w:pStyle w:val="Heading2"/>
        <w:ind w:hanging="0" w:start="0"/>
        <w:jc w:val="both"/>
        <w:rPr>
          <w:color w:val="auto"/>
        </w:rPr>
      </w:pPr>
      <w:r>
        <w:rPr>
          <w:color w:val="auto"/>
        </w:rPr>
        <w:t>North America and Europe</w:t>
      </w:r>
    </w:p>
    <w:p>
      <w:pPr>
        <w:pStyle w:val="Normal"/>
        <w:jc w:val="both"/>
        <w:rPr>
          <w:color w:val="auto"/>
        </w:rPr>
      </w:pPr>
      <w:r>
        <w:rPr>
          <w:color w:val="auto"/>
        </w:rPr>
      </w:r>
    </w:p>
    <w:p>
      <w:pPr>
        <w:pStyle w:val="Normal"/>
        <w:numPr>
          <w:ilvl w:val="0"/>
          <w:numId w:val="8"/>
        </w:numPr>
        <w:jc w:val="both"/>
        <w:rPr>
          <w:b/>
          <w:sz w:val="20"/>
          <w:u w:val="single"/>
        </w:rPr>
      </w:pPr>
      <w:r>
        <w:rPr>
          <w:sz w:val="20"/>
        </w:rPr>
        <w:t>Execute more commodity intermediation business via Enron Online than through traditional means.</w:t>
      </w:r>
    </w:p>
    <w:p>
      <w:pPr>
        <w:pStyle w:val="Normal"/>
        <w:jc w:val="both"/>
        <w:rPr>
          <w:b/>
          <w:sz w:val="20"/>
          <w:u w:val="single"/>
        </w:rPr>
      </w:pPr>
      <w:r>
        <w:rPr>
          <w:b/>
          <w:sz w:val="20"/>
          <w:u w:val="single"/>
        </w:rPr>
      </w:r>
    </w:p>
    <w:p>
      <w:pPr>
        <w:pStyle w:val="Normal"/>
        <w:jc w:val="both"/>
        <w:rPr>
          <w:sz w:val="20"/>
          <w:u w:val="single"/>
        </w:rPr>
      </w:pPr>
      <w:r>
        <w:rPr>
          <w:b/>
          <w:sz w:val="20"/>
          <w:u w:val="single"/>
        </w:rPr>
        <w:t>South America</w:t>
      </w:r>
    </w:p>
    <w:p>
      <w:pPr>
        <w:pStyle w:val="Normal"/>
        <w:jc w:val="both"/>
        <w:rPr>
          <w:sz w:val="20"/>
          <w:u w:val="single"/>
        </w:rPr>
      </w:pPr>
      <w:r>
        <w:rPr>
          <w:sz w:val="20"/>
          <w:u w:val="single"/>
        </w:rPr>
      </w:r>
    </w:p>
    <w:p>
      <w:pPr>
        <w:pStyle w:val="Normal"/>
        <w:numPr>
          <w:ilvl w:val="0"/>
          <w:numId w:val="39"/>
        </w:numPr>
        <w:jc w:val="both"/>
        <w:rPr>
          <w:sz w:val="20"/>
        </w:rPr>
      </w:pPr>
      <w:r>
        <w:rPr>
          <w:sz w:val="20"/>
        </w:rPr>
        <w:t>Clearly establish recurring, profitable merchant business evidenced by $25 million of earnings in 2000 with a goal of $50 million in 2001.</w:t>
      </w:r>
    </w:p>
    <w:p>
      <w:pPr>
        <w:pStyle w:val="Normal"/>
        <w:jc w:val="both"/>
        <w:rPr>
          <w:sz w:val="20"/>
        </w:rPr>
      </w:pPr>
      <w:r>
        <w:rPr>
          <w:sz w:val="20"/>
        </w:rPr>
      </w:r>
    </w:p>
    <w:p>
      <w:pPr>
        <w:pStyle w:val="Normal"/>
        <w:numPr>
          <w:ilvl w:val="0"/>
          <w:numId w:val="16"/>
        </w:numPr>
        <w:tabs>
          <w:tab w:val="clear" w:pos="720"/>
          <w:tab w:val="left" w:pos="360" w:leader="none"/>
        </w:tabs>
        <w:ind w:hanging="144" w:start="144" w:end="0"/>
        <w:jc w:val="both"/>
        <w:rPr>
          <w:sz w:val="20"/>
        </w:rPr>
      </w:pPr>
      <w:r>
        <w:rPr>
          <w:sz w:val="20"/>
        </w:rPr>
        <w:t>Complete a profitable sale of certain assets.</w:t>
      </w:r>
      <w:r>
        <w:br w:type="page"/>
      </w:r>
    </w:p>
    <w:p>
      <w:pPr>
        <w:pStyle w:val="BodyText"/>
        <w:tabs>
          <w:tab w:val="clear" w:pos="540"/>
        </w:tabs>
        <w:jc w:val="both"/>
        <w:rPr>
          <w:sz w:val="20"/>
        </w:rPr>
      </w:pPr>
      <w:r>
        <w:rPr>
          <w:sz w:val="20"/>
        </w:rPr>
      </w:r>
    </w:p>
    <w:p>
      <w:pPr>
        <w:pStyle w:val="Normal"/>
        <w:jc w:val="both"/>
        <w:rPr>
          <w:b/>
          <w:sz w:val="20"/>
          <w:u w:val="single"/>
        </w:rPr>
      </w:pPr>
      <w:r>
        <w:rPr>
          <w:b/>
          <w:sz w:val="20"/>
          <w:u w:val="single"/>
        </w:rPr>
        <w:t>India</w:t>
      </w:r>
    </w:p>
    <w:p>
      <w:pPr>
        <w:pStyle w:val="ListBullet2"/>
        <w:rPr>
          <w:b/>
          <w:sz w:val="20"/>
          <w:u w:val="single"/>
        </w:rPr>
      </w:pPr>
      <w:r>
        <w:rPr>
          <w:b/>
          <w:sz w:val="20"/>
          <w:u w:val="single"/>
        </w:rPr>
      </w:r>
    </w:p>
    <w:p>
      <w:pPr>
        <w:pStyle w:val="BodyText"/>
        <w:numPr>
          <w:ilvl w:val="0"/>
          <w:numId w:val="2"/>
        </w:numPr>
        <w:jc w:val="both"/>
        <w:rPr/>
      </w:pPr>
      <w:r>
        <w:rPr/>
        <w:t>Financially close Metgas pipeline transaction and sell 2 Tcf (1.6 MT) of gas along the pipeline.</w:t>
      </w:r>
    </w:p>
    <w:p>
      <w:pPr>
        <w:pStyle w:val="BodyText"/>
        <w:jc w:val="both"/>
        <w:rPr/>
      </w:pPr>
      <w:r>
        <w:rPr/>
      </w:r>
    </w:p>
    <w:p>
      <w:pPr>
        <w:pStyle w:val="BodyText"/>
        <w:numPr>
          <w:ilvl w:val="0"/>
          <w:numId w:val="2"/>
        </w:numPr>
        <w:jc w:val="both"/>
        <w:rPr/>
      </w:pPr>
      <w:r>
        <w:rPr/>
        <w:t>Establish a retail energy business as evidenced by closing 3 transactions.</w:t>
      </w:r>
    </w:p>
    <w:p>
      <w:pPr>
        <w:pStyle w:val="BodyText"/>
        <w:jc w:val="both"/>
        <w:rPr/>
      </w:pPr>
      <w:r>
        <w:rPr/>
      </w:r>
    </w:p>
    <w:p>
      <w:pPr>
        <w:pStyle w:val="BodyText"/>
        <w:numPr>
          <w:ilvl w:val="0"/>
          <w:numId w:val="2"/>
        </w:numPr>
        <w:jc w:val="both"/>
        <w:rPr/>
      </w:pPr>
      <w:r>
        <w:rPr/>
        <w:t>Develop a platform for a communication business by executing a software joint venture and having a data center in operation.</w:t>
      </w:r>
    </w:p>
    <w:p>
      <w:pPr>
        <w:pStyle w:val="BodyText"/>
        <w:tabs>
          <w:tab w:val="clear" w:pos="540"/>
        </w:tabs>
        <w:jc w:val="both"/>
        <w:rPr/>
      </w:pPr>
      <w:r>
        <w:rPr/>
      </w:r>
    </w:p>
    <w:p>
      <w:pPr>
        <w:pStyle w:val="Heading1"/>
        <w:ind w:hanging="0" w:start="0"/>
        <w:jc w:val="both"/>
        <w:rPr/>
      </w:pPr>
      <w:r>
        <w:rPr/>
        <w:t>Caribbean/LNG/Middle East</w:t>
      </w:r>
    </w:p>
    <w:p>
      <w:pPr>
        <w:pStyle w:val="Normal"/>
        <w:jc w:val="both"/>
        <w:rPr>
          <w:b/>
          <w:sz w:val="20"/>
          <w:u w:val="single"/>
        </w:rPr>
      </w:pPr>
      <w:r>
        <w:rPr>
          <w:b/>
          <w:sz w:val="20"/>
          <w:u w:val="single"/>
        </w:rPr>
      </w:r>
    </w:p>
    <w:p>
      <w:pPr>
        <w:pStyle w:val="Normal"/>
        <w:numPr>
          <w:ilvl w:val="0"/>
          <w:numId w:val="22"/>
        </w:numPr>
        <w:jc w:val="both"/>
        <w:rPr>
          <w:sz w:val="20"/>
        </w:rPr>
      </w:pPr>
      <w:r>
        <w:rPr>
          <w:sz w:val="20"/>
        </w:rPr>
        <w:t>Financially close and begin construction of the Venezuela LNG facility.</w:t>
      </w:r>
    </w:p>
    <w:p>
      <w:pPr>
        <w:pStyle w:val="Normal"/>
        <w:jc w:val="both"/>
        <w:rPr>
          <w:sz w:val="20"/>
        </w:rPr>
      </w:pPr>
      <w:r>
        <w:rPr>
          <w:sz w:val="20"/>
        </w:rPr>
      </w:r>
    </w:p>
    <w:p>
      <w:pPr>
        <w:pStyle w:val="Normal"/>
        <w:numPr>
          <w:ilvl w:val="0"/>
          <w:numId w:val="22"/>
        </w:numPr>
        <w:jc w:val="both"/>
        <w:rPr>
          <w:sz w:val="20"/>
        </w:rPr>
      </w:pPr>
      <w:r>
        <w:rPr>
          <w:sz w:val="20"/>
        </w:rPr>
        <w:t>Financially close and begin construction of Dolphin.</w:t>
      </w:r>
    </w:p>
    <w:p>
      <w:pPr>
        <w:pStyle w:val="Normal"/>
        <w:jc w:val="both"/>
        <w:rPr>
          <w:sz w:val="20"/>
        </w:rPr>
      </w:pPr>
      <w:r>
        <w:rPr>
          <w:sz w:val="20"/>
        </w:rPr>
      </w:r>
    </w:p>
    <w:p>
      <w:pPr>
        <w:pStyle w:val="Normal"/>
        <w:jc w:val="both"/>
        <w:rPr>
          <w:b/>
          <w:sz w:val="20"/>
          <w:u w:val="single"/>
        </w:rPr>
      </w:pPr>
      <w:r>
        <w:rPr>
          <w:b/>
          <w:sz w:val="20"/>
          <w:u w:val="single"/>
        </w:rPr>
      </w:r>
    </w:p>
    <w:p>
      <w:pPr>
        <w:pStyle w:val="Heading9"/>
        <w:ind w:hanging="0" w:start="0"/>
        <w:jc w:val="both"/>
        <w:rPr>
          <w:sz w:val="20"/>
          <w:u w:val="single"/>
        </w:rPr>
      </w:pPr>
      <w:r>
        <w:rPr>
          <w:sz w:val="20"/>
          <w:u w:val="single"/>
        </w:rPr>
        <w:t>Asia Pacific/Africa/China</w:t>
      </w:r>
    </w:p>
    <w:p>
      <w:pPr>
        <w:pStyle w:val="Normal"/>
        <w:jc w:val="both"/>
        <w:rPr>
          <w:sz w:val="20"/>
          <w:u w:val="single"/>
        </w:rPr>
      </w:pPr>
      <w:r>
        <w:rPr>
          <w:sz w:val="20"/>
          <w:u w:val="single"/>
        </w:rPr>
      </w:r>
    </w:p>
    <w:p>
      <w:pPr>
        <w:pStyle w:val="Normal"/>
        <w:numPr>
          <w:ilvl w:val="0"/>
          <w:numId w:val="13"/>
        </w:numPr>
        <w:jc w:val="both"/>
        <w:rPr/>
      </w:pPr>
      <w:r>
        <w:rPr>
          <w:sz w:val="20"/>
        </w:rPr>
        <w:t>Establish Japanese business as evidenced by aggregation of at least 5,000 megawatts of generation and an active merchant business with 500 mmcfe/day of energy transactions.</w:t>
      </w:r>
    </w:p>
    <w:p>
      <w:pPr>
        <w:pStyle w:val="Normal"/>
        <w:jc w:val="both"/>
        <w:rPr/>
      </w:pPr>
      <w:r>
        <w:rPr/>
      </w:r>
    </w:p>
    <w:p>
      <w:pPr>
        <w:pStyle w:val="Normal"/>
        <w:numPr>
          <w:ilvl w:val="0"/>
          <w:numId w:val="18"/>
        </w:numPr>
        <w:jc w:val="both"/>
        <w:rPr/>
      </w:pPr>
      <w:r>
        <w:rPr>
          <w:sz w:val="20"/>
        </w:rPr>
        <w:t>Leverage value of SK/Enron beyond profitability growth.</w:t>
      </w:r>
    </w:p>
    <w:p>
      <w:pPr>
        <w:pStyle w:val="Normal"/>
        <w:jc w:val="both"/>
        <w:rPr>
          <w:sz w:val="20"/>
        </w:rPr>
      </w:pPr>
      <w:r>
        <w:rPr>
          <w:sz w:val="20"/>
        </w:rPr>
      </w:r>
    </w:p>
    <w:p>
      <w:pPr>
        <w:pStyle w:val="Normal"/>
        <w:numPr>
          <w:ilvl w:val="0"/>
          <w:numId w:val="5"/>
        </w:numPr>
        <w:jc w:val="both"/>
        <w:rPr/>
      </w:pPr>
      <w:r>
        <w:rPr>
          <w:sz w:val="20"/>
        </w:rPr>
        <w:t>Resolve Hainan Island China, Vietnam and Mozambique issues.</w:t>
      </w:r>
    </w:p>
    <w:p>
      <w:pPr>
        <w:pStyle w:val="Normal"/>
        <w:jc w:val="both"/>
        <w:rPr>
          <w:sz w:val="20"/>
        </w:rPr>
      </w:pPr>
      <w:r>
        <w:rPr>
          <w:sz w:val="20"/>
        </w:rPr>
      </w:r>
    </w:p>
    <w:p>
      <w:pPr>
        <w:pStyle w:val="Heading3"/>
        <w:ind w:hanging="0" w:start="0"/>
        <w:rPr/>
      </w:pPr>
      <w:r>
        <w:rPr/>
        <w:t>ENRON ENERGY SERVICES</w:t>
      </w:r>
    </w:p>
    <w:p>
      <w:pPr>
        <w:pStyle w:val="Normal"/>
        <w:jc w:val="both"/>
        <w:rPr>
          <w:sz w:val="20"/>
        </w:rPr>
      </w:pPr>
      <w:r>
        <w:rPr>
          <w:sz w:val="20"/>
        </w:rPr>
      </w:r>
    </w:p>
    <w:p>
      <w:pPr>
        <w:pStyle w:val="Normal"/>
        <w:numPr>
          <w:ilvl w:val="0"/>
          <w:numId w:val="21"/>
        </w:numPr>
        <w:tabs>
          <w:tab w:val="clear" w:pos="720"/>
          <w:tab w:val="left" w:pos="360" w:leader="none"/>
        </w:tabs>
        <w:ind w:hanging="144" w:start="144" w:end="0"/>
        <w:jc w:val="both"/>
        <w:rPr>
          <w:sz w:val="20"/>
        </w:rPr>
      </w:pPr>
      <w:r>
        <w:rPr>
          <w:sz w:val="20"/>
        </w:rPr>
        <w:t>Execute transactions totaling $16 billion of total contract value.</w:t>
      </w:r>
    </w:p>
    <w:p>
      <w:pPr>
        <w:pStyle w:val="Normal"/>
        <w:jc w:val="both"/>
        <w:rPr>
          <w:sz w:val="20"/>
        </w:rPr>
      </w:pPr>
      <w:r>
        <w:rPr>
          <w:sz w:val="20"/>
        </w:rPr>
      </w:r>
    </w:p>
    <w:p>
      <w:pPr>
        <w:pStyle w:val="Normal"/>
        <w:numPr>
          <w:ilvl w:val="0"/>
          <w:numId w:val="24"/>
        </w:numPr>
        <w:tabs>
          <w:tab w:val="clear" w:pos="720"/>
          <w:tab w:val="left" w:pos="360" w:leader="none"/>
        </w:tabs>
        <w:ind w:hanging="360" w:start="360" w:end="0"/>
        <w:rPr>
          <w:sz w:val="20"/>
        </w:rPr>
      </w:pPr>
      <w:r>
        <w:rPr>
          <w:sz w:val="20"/>
        </w:rPr>
        <w:t>Expand commercial operations in Europe and sign agreements representing $2 billion of total contract value while building service delivery capability.</w:t>
      </w:r>
    </w:p>
    <w:p>
      <w:pPr>
        <w:pStyle w:val="Normal"/>
        <w:rPr>
          <w:sz w:val="20"/>
        </w:rPr>
      </w:pPr>
      <w:r>
        <w:rPr>
          <w:sz w:val="20"/>
        </w:rPr>
      </w:r>
    </w:p>
    <w:p>
      <w:pPr>
        <w:pStyle w:val="Normal"/>
        <w:numPr>
          <w:ilvl w:val="0"/>
          <w:numId w:val="10"/>
        </w:numPr>
        <w:tabs>
          <w:tab w:val="clear" w:pos="720"/>
        </w:tabs>
        <w:ind w:hanging="360" w:start="360" w:end="0"/>
        <w:rPr>
          <w:sz w:val="20"/>
        </w:rPr>
      </w:pPr>
      <w:r>
        <w:rPr>
          <w:sz w:val="20"/>
        </w:rPr>
        <w:t>Maintain customer satisfaction overall score ratings between 4.2 and 5.0. (excellent-4; outstanding-5)</w:t>
      </w:r>
    </w:p>
    <w:p>
      <w:pPr>
        <w:pStyle w:val="ListBullet2"/>
        <w:rPr>
          <w:sz w:val="20"/>
        </w:rPr>
      </w:pPr>
      <w:r>
        <w:rPr>
          <w:sz w:val="20"/>
        </w:rPr>
      </w:r>
      <w:r>
        <w:br w:type="page"/>
      </w:r>
    </w:p>
    <w:p>
      <w:pPr>
        <w:pStyle w:val="Normal"/>
        <w:rPr>
          <w:sz w:val="20"/>
        </w:rPr>
      </w:pPr>
      <w:r>
        <w:rPr>
          <w:sz w:val="20"/>
        </w:rPr>
      </w:r>
    </w:p>
    <w:p>
      <w:pPr>
        <w:pStyle w:val="Heading3"/>
        <w:ind w:hanging="0" w:start="0"/>
        <w:rPr/>
      </w:pPr>
      <w:r>
        <w:rPr/>
        <w:t>ENRON BROADBAND SERVICES</w:t>
      </w:r>
    </w:p>
    <w:p>
      <w:pPr>
        <w:pStyle w:val="Normal"/>
        <w:jc w:val="both"/>
        <w:rPr>
          <w:sz w:val="20"/>
        </w:rPr>
      </w:pPr>
      <w:r>
        <w:rPr>
          <w:sz w:val="20"/>
        </w:rPr>
      </w:r>
    </w:p>
    <w:p>
      <w:pPr>
        <w:pStyle w:val="Normal"/>
        <w:numPr>
          <w:ilvl w:val="0"/>
          <w:numId w:val="29"/>
        </w:numPr>
        <w:jc w:val="both"/>
        <w:rPr>
          <w:sz w:val="20"/>
        </w:rPr>
      </w:pPr>
      <w:r>
        <w:rPr>
          <w:sz w:val="20"/>
        </w:rPr>
        <w:t>Achieve scheduled rollout of the Enron Intelligent Network as evidenced by 15,000 fiber miles, 1,500 servers and 13 pooling points.</w:t>
      </w:r>
    </w:p>
    <w:p>
      <w:pPr>
        <w:pStyle w:val="Normal"/>
        <w:jc w:val="both"/>
        <w:rPr>
          <w:sz w:val="20"/>
        </w:rPr>
      </w:pPr>
      <w:r>
        <w:rPr>
          <w:sz w:val="20"/>
        </w:rPr>
      </w:r>
    </w:p>
    <w:p>
      <w:pPr>
        <w:pStyle w:val="Normal"/>
        <w:numPr>
          <w:ilvl w:val="0"/>
          <w:numId w:val="29"/>
        </w:numPr>
        <w:jc w:val="both"/>
        <w:rPr>
          <w:sz w:val="20"/>
        </w:rPr>
      </w:pPr>
      <w:r>
        <w:rPr>
          <w:sz w:val="20"/>
        </w:rPr>
        <w:t>Achieve volumetric targets for broadband intermediation (5,000 DS-3 months) and bandwidth services ($200 million of total contract value).</w:t>
      </w:r>
    </w:p>
    <w:p>
      <w:pPr>
        <w:pStyle w:val="Normal"/>
        <w:jc w:val="both"/>
        <w:rPr>
          <w:sz w:val="20"/>
        </w:rPr>
      </w:pPr>
      <w:r>
        <w:rPr>
          <w:sz w:val="20"/>
        </w:rPr>
      </w:r>
    </w:p>
    <w:p>
      <w:pPr>
        <w:pStyle w:val="Normal"/>
        <w:numPr>
          <w:ilvl w:val="0"/>
          <w:numId w:val="9"/>
        </w:numPr>
        <w:jc w:val="both"/>
        <w:rPr>
          <w:sz w:val="20"/>
        </w:rPr>
      </w:pPr>
      <w:r>
        <w:rPr>
          <w:sz w:val="20"/>
        </w:rPr>
        <w:t>Complete a full outsourcing of bandwidth management for two significant customers.</w:t>
      </w:r>
    </w:p>
    <w:p>
      <w:pPr>
        <w:pStyle w:val="Normal"/>
        <w:rPr>
          <w:sz w:val="20"/>
        </w:rPr>
      </w:pPr>
      <w:r>
        <w:rPr>
          <w:sz w:val="20"/>
        </w:rPr>
      </w:r>
    </w:p>
    <w:p>
      <w:pPr>
        <w:pStyle w:val="Normal"/>
        <w:rPr>
          <w:sz w:val="20"/>
        </w:rPr>
      </w:pPr>
      <w:r>
        <w:rPr>
          <w:sz w:val="20"/>
        </w:rPr>
      </w:r>
    </w:p>
    <w:p>
      <w:pPr>
        <w:pStyle w:val="Heading3"/>
        <w:ind w:hanging="0" w:start="0"/>
        <w:rPr/>
      </w:pPr>
      <w:r>
        <w:rPr/>
        <w:t>TRANSPORTATION AND DISTRIBUTION</w:t>
      </w:r>
    </w:p>
    <w:p>
      <w:pPr>
        <w:pStyle w:val="Normal"/>
        <w:jc w:val="both"/>
        <w:rPr>
          <w:b/>
          <w:sz w:val="20"/>
          <w:u w:val="single"/>
        </w:rPr>
      </w:pPr>
      <w:r>
        <w:rPr>
          <w:b/>
          <w:sz w:val="20"/>
          <w:u w:val="single"/>
        </w:rPr>
      </w:r>
    </w:p>
    <w:p>
      <w:pPr>
        <w:pStyle w:val="Normal"/>
        <w:jc w:val="both"/>
        <w:rPr>
          <w:b/>
          <w:sz w:val="20"/>
          <w:u w:val="single"/>
        </w:rPr>
      </w:pPr>
      <w:r>
        <w:rPr>
          <w:b/>
          <w:sz w:val="20"/>
          <w:u w:val="single"/>
        </w:rPr>
      </w:r>
    </w:p>
    <w:p>
      <w:pPr>
        <w:pStyle w:val="Heading1"/>
        <w:ind w:hanging="0" w:start="0"/>
        <w:jc w:val="both"/>
        <w:rPr/>
      </w:pPr>
      <w:r>
        <w:rPr/>
        <w:t>Gas Pipeline Group</w:t>
      </w:r>
    </w:p>
    <w:p>
      <w:pPr>
        <w:pStyle w:val="Normal"/>
        <w:jc w:val="both"/>
        <w:rPr>
          <w:b/>
          <w:sz w:val="20"/>
          <w:u w:val="single"/>
        </w:rPr>
      </w:pPr>
      <w:r>
        <w:rPr>
          <w:b/>
          <w:sz w:val="20"/>
          <w:u w:val="single"/>
        </w:rPr>
      </w:r>
    </w:p>
    <w:p>
      <w:pPr>
        <w:pStyle w:val="Normal"/>
        <w:numPr>
          <w:ilvl w:val="0"/>
          <w:numId w:val="40"/>
        </w:numPr>
        <w:jc w:val="both"/>
        <w:rPr>
          <w:sz w:val="20"/>
        </w:rPr>
      </w:pPr>
      <w:r>
        <w:rPr>
          <w:sz w:val="20"/>
        </w:rPr>
        <w:t>Continue Florida Gas expansion by completing phase IV construction, obtaining favorable Preliminary Determination and Environmental Impact Statement on Phase V and receiving market support for Phase VI.  Obtain final FERC certificate for Northern Border’s Project 2000 and place in service Transwestern’s Gallup Expansion by the 2</w:t>
      </w:r>
      <w:r>
        <w:rPr>
          <w:sz w:val="20"/>
          <w:vertAlign w:val="superscript"/>
        </w:rPr>
        <w:t>nd</w:t>
      </w:r>
      <w:r>
        <w:rPr>
          <w:sz w:val="20"/>
        </w:rPr>
        <w:t xml:space="preserve"> quarter.</w:t>
      </w:r>
    </w:p>
    <w:p>
      <w:pPr>
        <w:pStyle w:val="Normal"/>
        <w:jc w:val="both"/>
        <w:rPr>
          <w:sz w:val="20"/>
        </w:rPr>
      </w:pPr>
      <w:r>
        <w:rPr>
          <w:sz w:val="20"/>
        </w:rPr>
      </w:r>
    </w:p>
    <w:p>
      <w:pPr>
        <w:pStyle w:val="Normal"/>
        <w:numPr>
          <w:ilvl w:val="0"/>
          <w:numId w:val="40"/>
        </w:numPr>
        <w:jc w:val="both"/>
        <w:rPr>
          <w:sz w:val="20"/>
        </w:rPr>
      </w:pPr>
      <w:r>
        <w:rPr>
          <w:sz w:val="20"/>
        </w:rPr>
        <w:t>Close accretive acquisitions of $100 million and $150 million respectively for EOTT and Northern Border.</w:t>
      </w:r>
    </w:p>
    <w:p>
      <w:pPr>
        <w:pStyle w:val="Normal"/>
        <w:jc w:val="both"/>
        <w:rPr>
          <w:sz w:val="20"/>
        </w:rPr>
      </w:pPr>
      <w:r>
        <w:rPr>
          <w:sz w:val="20"/>
        </w:rPr>
      </w:r>
    </w:p>
    <w:p>
      <w:pPr>
        <w:pStyle w:val="Normal"/>
        <w:numPr>
          <w:ilvl w:val="0"/>
          <w:numId w:val="40"/>
        </w:numPr>
        <w:jc w:val="both"/>
        <w:rPr>
          <w:sz w:val="20"/>
        </w:rPr>
      </w:pPr>
      <w:r>
        <w:rPr>
          <w:sz w:val="20"/>
        </w:rPr>
        <w:t>Divest of Enron’s Clean Fuels business.</w:t>
      </w:r>
    </w:p>
    <w:p>
      <w:pPr>
        <w:pStyle w:val="Normal"/>
        <w:jc w:val="both"/>
        <w:rPr>
          <w:sz w:val="20"/>
        </w:rPr>
      </w:pPr>
      <w:r>
        <w:rPr>
          <w:sz w:val="20"/>
        </w:rPr>
      </w:r>
    </w:p>
    <w:p>
      <w:pPr>
        <w:pStyle w:val="Heading1"/>
        <w:ind w:hanging="0" w:start="0"/>
        <w:jc w:val="both"/>
        <w:rPr/>
      </w:pPr>
      <w:r>
        <w:rPr/>
        <w:t>Portland General Electric</w:t>
      </w:r>
    </w:p>
    <w:p>
      <w:pPr>
        <w:pStyle w:val="Normal"/>
        <w:jc w:val="both"/>
        <w:rPr>
          <w:sz w:val="20"/>
        </w:rPr>
      </w:pPr>
      <w:r>
        <w:rPr>
          <w:sz w:val="20"/>
        </w:rPr>
      </w:r>
    </w:p>
    <w:p>
      <w:pPr>
        <w:pStyle w:val="Normal"/>
        <w:numPr>
          <w:ilvl w:val="0"/>
          <w:numId w:val="40"/>
        </w:numPr>
        <w:jc w:val="both"/>
        <w:rPr>
          <w:sz w:val="20"/>
        </w:rPr>
      </w:pPr>
      <w:r>
        <w:rPr>
          <w:sz w:val="20"/>
        </w:rPr>
        <w:t>Successfully close the sale of PGE to Sierra Pacific Resources.</w:t>
      </w:r>
    </w:p>
    <w:p>
      <w:pPr>
        <w:pStyle w:val="Normal"/>
        <w:jc w:val="both"/>
        <w:rPr>
          <w:sz w:val="20"/>
        </w:rPr>
      </w:pPr>
      <w:r>
        <w:rPr>
          <w:sz w:val="20"/>
        </w:rPr>
      </w:r>
    </w:p>
    <w:p>
      <w:pPr>
        <w:pStyle w:val="Normal"/>
        <w:numPr>
          <w:ilvl w:val="0"/>
          <w:numId w:val="37"/>
        </w:numPr>
        <w:jc w:val="both"/>
        <w:rPr>
          <w:sz w:val="20"/>
        </w:rPr>
      </w:pPr>
      <w:r>
        <w:rPr>
          <w:sz w:val="20"/>
        </w:rPr>
        <w:t>Continue to manage regulatory and legislative initiatives in a way that optimizes benefits to customers and shareholders.  Progress toward the successful implementation of restructuring legislation.</w:t>
      </w:r>
    </w:p>
    <w:p>
      <w:pPr>
        <w:pStyle w:val="Normal"/>
        <w:jc w:val="both"/>
        <w:rPr>
          <w:sz w:val="20"/>
        </w:rPr>
      </w:pPr>
      <w:r>
        <w:rPr>
          <w:sz w:val="20"/>
        </w:rPr>
      </w:r>
    </w:p>
    <w:p>
      <w:pPr>
        <w:pStyle w:val="Normal"/>
        <w:numPr>
          <w:ilvl w:val="0"/>
          <w:numId w:val="40"/>
        </w:numPr>
        <w:jc w:val="both"/>
        <w:rPr>
          <w:sz w:val="20"/>
        </w:rPr>
      </w:pPr>
      <w:r>
        <w:rPr>
          <w:sz w:val="20"/>
        </w:rPr>
        <w:t>Meet Trojan decommissioning objectives and successfully manage the Trojan cost recovery.</w:t>
      </w:r>
    </w:p>
    <w:p>
      <w:pPr>
        <w:pStyle w:val="Normal"/>
        <w:jc w:val="both"/>
        <w:rPr>
          <w:sz w:val="20"/>
        </w:rPr>
      </w:pPr>
      <w:r>
        <w:rPr>
          <w:sz w:val="20"/>
        </w:rPr>
      </w:r>
    </w:p>
    <w:p>
      <w:pPr>
        <w:pStyle w:val="Heading7"/>
        <w:rPr/>
      </w:pPr>
      <w:r>
        <w:rPr/>
        <w:t>GLOBAL AND STAFF FUNCTIONS</w:t>
      </w:r>
    </w:p>
    <w:p>
      <w:pPr>
        <w:pStyle w:val="Normal"/>
        <w:numPr>
          <w:ilvl w:val="0"/>
          <w:numId w:val="0"/>
        </w:numPr>
        <w:ind w:hanging="360" w:start="360" w:end="0"/>
        <w:jc w:val="both"/>
        <w:rPr>
          <w:sz w:val="20"/>
        </w:rPr>
      </w:pPr>
      <w:r>
        <w:rPr>
          <w:sz w:val="20"/>
        </w:rPr>
      </w:r>
    </w:p>
    <w:p>
      <w:pPr>
        <w:pStyle w:val="Heading8"/>
        <w:ind w:hanging="0" w:start="0"/>
        <w:jc w:val="both"/>
        <w:rPr>
          <w:b/>
          <w:color w:val="auto"/>
        </w:rPr>
      </w:pPr>
      <w:r>
        <w:rPr>
          <w:b/>
          <w:color w:val="auto"/>
        </w:rPr>
        <w:t>Finance</w:t>
      </w:r>
    </w:p>
    <w:p>
      <w:pPr>
        <w:pStyle w:val="Normal"/>
        <w:ind w:start="144" w:end="0"/>
        <w:jc w:val="both"/>
        <w:rPr>
          <w:b/>
          <w:color w:val="auto"/>
          <w:sz w:val="20"/>
        </w:rPr>
      </w:pPr>
      <w:r>
        <w:rPr>
          <w:b/>
          <w:color w:val="auto"/>
          <w:sz w:val="20"/>
        </w:rPr>
      </w:r>
    </w:p>
    <w:p>
      <w:pPr>
        <w:pStyle w:val="Normal"/>
        <w:numPr>
          <w:ilvl w:val="0"/>
          <w:numId w:val="4"/>
        </w:numPr>
        <w:jc w:val="both"/>
        <w:rPr>
          <w:sz w:val="20"/>
        </w:rPr>
      </w:pPr>
      <w:r>
        <w:rPr>
          <w:sz w:val="20"/>
        </w:rPr>
        <w:t>Outperform the BBB+ Bond Index.</w:t>
      </w:r>
    </w:p>
    <w:p>
      <w:pPr>
        <w:pStyle w:val="Normal"/>
        <w:jc w:val="both"/>
        <w:rPr>
          <w:sz w:val="20"/>
        </w:rPr>
      </w:pPr>
      <w:r>
        <w:rPr>
          <w:sz w:val="20"/>
        </w:rPr>
      </w:r>
    </w:p>
    <w:p>
      <w:pPr>
        <w:pStyle w:val="Normal"/>
        <w:numPr>
          <w:ilvl w:val="0"/>
          <w:numId w:val="4"/>
        </w:numPr>
        <w:ind w:hanging="360" w:start="504" w:end="0"/>
        <w:jc w:val="both"/>
        <w:rPr>
          <w:sz w:val="20"/>
        </w:rPr>
      </w:pPr>
      <w:r>
        <w:rPr>
          <w:sz w:val="20"/>
        </w:rPr>
        <w:t>Create merchant investment hedging vehicle to reduce downside earnings exposure.</w:t>
      </w:r>
    </w:p>
    <w:p>
      <w:pPr>
        <w:pStyle w:val="Normal"/>
        <w:jc w:val="both"/>
        <w:rPr>
          <w:sz w:val="20"/>
        </w:rPr>
      </w:pPr>
      <w:r>
        <w:rPr>
          <w:sz w:val="20"/>
        </w:rPr>
      </w:r>
    </w:p>
    <w:p>
      <w:pPr>
        <w:pStyle w:val="Normal"/>
        <w:numPr>
          <w:ilvl w:val="0"/>
          <w:numId w:val="4"/>
        </w:numPr>
        <w:ind w:hanging="360" w:start="504" w:end="0"/>
        <w:jc w:val="both"/>
        <w:rPr>
          <w:sz w:val="20"/>
        </w:rPr>
      </w:pPr>
      <w:r>
        <w:rPr>
          <w:sz w:val="20"/>
        </w:rPr>
        <w:t>Provide platform(s) for increased capital velocity to achieve return on equity target.</w:t>
      </w:r>
      <w:r>
        <w:br w:type="page"/>
      </w:r>
    </w:p>
    <w:p>
      <w:pPr>
        <w:pStyle w:val="Normal"/>
        <w:numPr>
          <w:ilvl w:val="0"/>
          <w:numId w:val="0"/>
        </w:numPr>
        <w:ind w:hanging="360" w:start="360" w:end="0"/>
        <w:jc w:val="both"/>
        <w:rPr>
          <w:sz w:val="20"/>
        </w:rPr>
      </w:pPr>
      <w:r>
        <w:rPr>
          <w:sz w:val="20"/>
        </w:rPr>
      </w:r>
    </w:p>
    <w:p>
      <w:pPr>
        <w:pStyle w:val="Heading6"/>
        <w:ind w:hanging="0" w:start="0"/>
        <w:jc w:val="both"/>
        <w:rPr>
          <w:b/>
          <w:i w:val="false"/>
          <w:i w:val="false"/>
          <w:color w:val="auto"/>
        </w:rPr>
      </w:pPr>
      <w:r>
        <w:rPr>
          <w:b/>
          <w:i w:val="false"/>
          <w:color w:val="auto"/>
        </w:rPr>
        <w:t>Technology</w:t>
      </w:r>
    </w:p>
    <w:p>
      <w:pPr>
        <w:pStyle w:val="Normal"/>
        <w:jc w:val="both"/>
        <w:rPr>
          <w:b/>
          <w:i/>
          <w:i/>
          <w:color w:val="auto"/>
          <w:sz w:val="20"/>
        </w:rPr>
      </w:pPr>
      <w:r>
        <w:rPr>
          <w:b/>
          <w:i/>
          <w:color w:val="auto"/>
          <w:sz w:val="20"/>
        </w:rPr>
      </w:r>
    </w:p>
    <w:p>
      <w:pPr>
        <w:pStyle w:val="Normal"/>
        <w:numPr>
          <w:ilvl w:val="0"/>
          <w:numId w:val="7"/>
        </w:numPr>
        <w:jc w:val="both"/>
        <w:rPr>
          <w:sz w:val="20"/>
        </w:rPr>
      </w:pPr>
      <w:r>
        <w:rPr>
          <w:sz w:val="20"/>
        </w:rPr>
        <w:t>Be the largest and leading e-commerce player. Execute e-business plan, which includes starting 5 new businesses and attempting to monetize 3 of them.</w:t>
      </w:r>
    </w:p>
    <w:p>
      <w:pPr>
        <w:pStyle w:val="Normal"/>
        <w:jc w:val="both"/>
        <w:rPr>
          <w:sz w:val="20"/>
        </w:rPr>
      </w:pPr>
      <w:r>
        <w:rPr>
          <w:sz w:val="20"/>
        </w:rPr>
      </w:r>
    </w:p>
    <w:p>
      <w:pPr>
        <w:pStyle w:val="Normal"/>
        <w:numPr>
          <w:ilvl w:val="0"/>
          <w:numId w:val="3"/>
        </w:numPr>
        <w:jc w:val="both"/>
        <w:rPr>
          <w:sz w:val="20"/>
        </w:rPr>
      </w:pPr>
      <w:r>
        <w:rPr>
          <w:sz w:val="20"/>
        </w:rPr>
        <w:t>Implement worldwide standards and create a homogeneous infrastructure.</w:t>
      </w:r>
    </w:p>
    <w:p>
      <w:pPr>
        <w:pStyle w:val="Normal"/>
        <w:ind w:start="432" w:end="0"/>
        <w:jc w:val="both"/>
        <w:rPr>
          <w:sz w:val="20"/>
        </w:rPr>
      </w:pPr>
      <w:r>
        <w:rPr>
          <w:sz w:val="20"/>
        </w:rPr>
      </w:r>
    </w:p>
    <w:p>
      <w:pPr>
        <w:pStyle w:val="Normal"/>
        <w:numPr>
          <w:ilvl w:val="0"/>
          <w:numId w:val="25"/>
        </w:numPr>
        <w:jc w:val="both"/>
        <w:rPr>
          <w:sz w:val="20"/>
        </w:rPr>
      </w:pPr>
      <w:r>
        <w:rPr>
          <w:sz w:val="20"/>
        </w:rPr>
        <w:t>Create $100 million of value for business units that is not in the 2000 Plan.</w:t>
      </w:r>
    </w:p>
    <w:p>
      <w:pPr>
        <w:pStyle w:val="Heading1"/>
        <w:ind w:hanging="0" w:start="0"/>
        <w:rPr>
          <w:sz w:val="20"/>
        </w:rPr>
      </w:pPr>
      <w:r>
        <w:rPr>
          <w:sz w:val="20"/>
        </w:rPr>
      </w:r>
    </w:p>
    <w:p>
      <w:pPr>
        <w:pStyle w:val="Heading1"/>
        <w:ind w:hanging="0" w:start="0"/>
        <w:rPr/>
      </w:pPr>
      <w:r>
        <w:rPr/>
        <w:t>Asset Development and Enron Wind</w:t>
      </w:r>
    </w:p>
    <w:p>
      <w:pPr>
        <w:pStyle w:val="Normal"/>
        <w:jc w:val="both"/>
        <w:rPr>
          <w:sz w:val="20"/>
        </w:rPr>
      </w:pPr>
      <w:r>
        <w:rPr>
          <w:sz w:val="20"/>
        </w:rPr>
      </w:r>
    </w:p>
    <w:p>
      <w:pPr>
        <w:pStyle w:val="Normal"/>
        <w:numPr>
          <w:ilvl w:val="0"/>
          <w:numId w:val="36"/>
        </w:numPr>
        <w:jc w:val="both"/>
        <w:rPr>
          <w:sz w:val="20"/>
        </w:rPr>
      </w:pPr>
      <w:r>
        <w:rPr>
          <w:sz w:val="20"/>
        </w:rPr>
        <w:t>Complete the Spanish assembly plant and produce 100 TZ750 wind turbine generators.</w:t>
      </w:r>
    </w:p>
    <w:p>
      <w:pPr>
        <w:pStyle w:val="Normal"/>
        <w:jc w:val="both"/>
        <w:rPr>
          <w:sz w:val="20"/>
        </w:rPr>
      </w:pPr>
      <w:r>
        <w:rPr>
          <w:sz w:val="20"/>
        </w:rPr>
      </w:r>
    </w:p>
    <w:p>
      <w:pPr>
        <w:pStyle w:val="BodyText"/>
        <w:numPr>
          <w:ilvl w:val="0"/>
          <w:numId w:val="20"/>
        </w:numPr>
        <w:tabs>
          <w:tab w:val="clear" w:pos="540"/>
        </w:tabs>
        <w:jc w:val="both"/>
        <w:rPr/>
      </w:pPr>
      <w:r>
        <w:rPr/>
        <w:t>Deploy a new generation TZ 1.5 wind turbine with a cost of energy equivalent of 3.5 cents/kwh or less.</w:t>
      </w:r>
    </w:p>
    <w:p>
      <w:pPr>
        <w:pStyle w:val="Normal"/>
        <w:jc w:val="both"/>
        <w:rPr>
          <w:sz w:val="20"/>
        </w:rPr>
      </w:pPr>
      <w:r>
        <w:rPr>
          <w:sz w:val="20"/>
        </w:rPr>
      </w:r>
    </w:p>
    <w:p>
      <w:pPr>
        <w:pStyle w:val="Normal"/>
        <w:numPr>
          <w:ilvl w:val="0"/>
          <w:numId w:val="35"/>
        </w:numPr>
        <w:jc w:val="both"/>
        <w:rPr>
          <w:sz w:val="20"/>
        </w:rPr>
      </w:pPr>
      <w:r>
        <w:rPr>
          <w:sz w:val="20"/>
        </w:rPr>
        <w:t>Obtain a level of reliability that will allow Dabhol Power to achieve the availability target set forth in the 2000 Plan.</w:t>
      </w:r>
    </w:p>
    <w:p>
      <w:pPr>
        <w:pStyle w:val="Normal"/>
        <w:numPr>
          <w:ilvl w:val="0"/>
          <w:numId w:val="0"/>
        </w:numPr>
        <w:ind w:hanging="360" w:start="360" w:end="0"/>
        <w:jc w:val="both"/>
        <w:rPr>
          <w:sz w:val="20"/>
        </w:rPr>
      </w:pPr>
      <w:r>
        <w:rPr>
          <w:sz w:val="20"/>
        </w:rPr>
      </w:r>
    </w:p>
    <w:p>
      <w:pPr>
        <w:pStyle w:val="Heading1"/>
        <w:ind w:hanging="0" w:start="0"/>
        <w:jc w:val="both"/>
        <w:rPr/>
      </w:pPr>
      <w:r>
        <w:rPr/>
        <w:t>Global Exploration &amp; Production</w:t>
      </w:r>
    </w:p>
    <w:p>
      <w:pPr>
        <w:pStyle w:val="Normal"/>
        <w:jc w:val="both"/>
        <w:rPr>
          <w:b/>
          <w:sz w:val="20"/>
          <w:u w:val="single"/>
        </w:rPr>
      </w:pPr>
      <w:r>
        <w:rPr>
          <w:b/>
          <w:sz w:val="20"/>
          <w:u w:val="single"/>
        </w:rPr>
      </w:r>
    </w:p>
    <w:p>
      <w:pPr>
        <w:pStyle w:val="BodyText"/>
        <w:numPr>
          <w:ilvl w:val="0"/>
          <w:numId w:val="30"/>
        </w:numPr>
        <w:tabs>
          <w:tab w:val="clear" w:pos="540"/>
        </w:tabs>
        <w:jc w:val="both"/>
        <w:rPr/>
      </w:pPr>
      <w:r>
        <w:rPr/>
        <w:t>Achieve the financial goals for India while maintaining outstanding level of operational, environmental and safety performance.  Achieve operating and management committee approvals for Tapti expansion project.   Resolve the significant outstanding commercial issues with all parties associated with our Indian operations.</w:t>
      </w:r>
    </w:p>
    <w:p>
      <w:pPr>
        <w:pStyle w:val="Normal"/>
        <w:jc w:val="both"/>
        <w:rPr>
          <w:sz w:val="20"/>
        </w:rPr>
      </w:pPr>
      <w:r>
        <w:rPr>
          <w:sz w:val="20"/>
        </w:rPr>
      </w:r>
    </w:p>
    <w:p>
      <w:pPr>
        <w:pStyle w:val="BodyText"/>
        <w:numPr>
          <w:ilvl w:val="0"/>
          <w:numId w:val="15"/>
        </w:numPr>
        <w:tabs>
          <w:tab w:val="clear" w:pos="540"/>
          <w:tab w:val="left" w:pos="360" w:leader="none"/>
        </w:tabs>
        <w:ind w:hanging="144" w:start="144" w:end="0"/>
        <w:jc w:val="both"/>
        <w:rPr/>
      </w:pPr>
      <w:r>
        <w:rPr/>
        <w:t>Build an E&amp;P service model/business and close at least one new project.</w:t>
      </w:r>
    </w:p>
    <w:p>
      <w:pPr>
        <w:pStyle w:val="BodyText"/>
        <w:tabs>
          <w:tab w:val="clear" w:pos="540"/>
        </w:tabs>
        <w:jc w:val="both"/>
        <w:rPr/>
      </w:pPr>
      <w:r>
        <w:rPr/>
      </w:r>
    </w:p>
    <w:p>
      <w:pPr>
        <w:pStyle w:val="BodyText"/>
        <w:numPr>
          <w:ilvl w:val="0"/>
          <w:numId w:val="14"/>
        </w:numPr>
        <w:tabs>
          <w:tab w:val="clear" w:pos="540"/>
        </w:tabs>
        <w:jc w:val="both"/>
        <w:rPr/>
      </w:pPr>
      <w:r>
        <w:rPr/>
        <w:t xml:space="preserve">Work out an acceptable solution for our China Sichuan investment/operations with minimal financial impact. </w:t>
      </w:r>
    </w:p>
    <w:p>
      <w:pPr>
        <w:pStyle w:val="ListBullet2"/>
        <w:rPr/>
      </w:pPr>
      <w:r>
        <w:rPr/>
      </w:r>
    </w:p>
    <w:p>
      <w:pPr>
        <w:pStyle w:val="Heading3"/>
        <w:ind w:hanging="0" w:start="0"/>
        <w:jc w:val="both"/>
        <w:rPr/>
      </w:pPr>
      <w:r>
        <w:rPr/>
        <w:t>Engineering and Construction</w:t>
      </w:r>
    </w:p>
    <w:p>
      <w:pPr>
        <w:pStyle w:val="Normal"/>
        <w:jc w:val="both"/>
        <w:rPr>
          <w:sz w:val="20"/>
        </w:rPr>
      </w:pPr>
      <w:r>
        <w:rPr>
          <w:sz w:val="20"/>
        </w:rPr>
      </w:r>
    </w:p>
    <w:p>
      <w:pPr>
        <w:pStyle w:val="Normal"/>
        <w:numPr>
          <w:ilvl w:val="0"/>
          <w:numId w:val="17"/>
        </w:numPr>
        <w:jc w:val="both"/>
        <w:rPr>
          <w:sz w:val="20"/>
        </w:rPr>
      </w:pPr>
      <w:r>
        <w:rPr>
          <w:sz w:val="20"/>
        </w:rPr>
        <w:t>Grow the third party customer business by becoming the third largest power contractor in the US and completing a strategic alliance with a premier customer.</w:t>
      </w:r>
    </w:p>
    <w:p>
      <w:pPr>
        <w:pStyle w:val="Normal"/>
        <w:jc w:val="both"/>
        <w:rPr>
          <w:sz w:val="20"/>
        </w:rPr>
      </w:pPr>
      <w:r>
        <w:rPr>
          <w:sz w:val="20"/>
        </w:rPr>
      </w:r>
    </w:p>
    <w:p>
      <w:pPr>
        <w:pStyle w:val="Normal"/>
        <w:numPr>
          <w:ilvl w:val="0"/>
          <w:numId w:val="19"/>
        </w:numPr>
        <w:tabs>
          <w:tab w:val="clear" w:pos="720"/>
          <w:tab w:val="left" w:pos="360" w:leader="none"/>
        </w:tabs>
        <w:ind w:hanging="144" w:start="144" w:end="0"/>
        <w:jc w:val="both"/>
        <w:rPr>
          <w:sz w:val="20"/>
        </w:rPr>
      </w:pPr>
      <w:r>
        <w:rPr>
          <w:sz w:val="20"/>
        </w:rPr>
        <w:t>Increase cash flow from operations to $100 million</w:t>
      </w:r>
    </w:p>
    <w:p>
      <w:pPr>
        <w:pStyle w:val="Normal"/>
        <w:jc w:val="both"/>
        <w:rPr>
          <w:sz w:val="20"/>
        </w:rPr>
      </w:pPr>
      <w:r>
        <w:rPr>
          <w:sz w:val="20"/>
        </w:rPr>
      </w:r>
    </w:p>
    <w:p>
      <w:pPr>
        <w:pStyle w:val="BodyText"/>
        <w:numPr>
          <w:ilvl w:val="0"/>
          <w:numId w:val="32"/>
        </w:numPr>
        <w:tabs>
          <w:tab w:val="clear" w:pos="540"/>
        </w:tabs>
        <w:jc w:val="both"/>
        <w:rPr/>
      </w:pPr>
      <w:r>
        <w:rPr/>
        <w:t>Improve the technical review and due diligence process for construction risk throughout the company.</w:t>
      </w:r>
      <w:r>
        <w:br w:type="page"/>
      </w:r>
    </w:p>
    <w:p>
      <w:pPr>
        <w:pStyle w:val="Normal"/>
        <w:numPr>
          <w:ilvl w:val="0"/>
          <w:numId w:val="0"/>
        </w:numPr>
        <w:ind w:hanging="360" w:start="360" w:end="0"/>
        <w:jc w:val="both"/>
        <w:rPr>
          <w:sz w:val="20"/>
        </w:rPr>
      </w:pPr>
      <w:r>
        <w:rPr>
          <w:sz w:val="20"/>
        </w:rPr>
      </w:r>
    </w:p>
    <w:p>
      <w:pPr>
        <w:pStyle w:val="Heading6"/>
        <w:ind w:hanging="0" w:start="0"/>
        <w:jc w:val="both"/>
        <w:rPr>
          <w:b/>
          <w:i w:val="false"/>
          <w:i w:val="false"/>
          <w:color w:val="auto"/>
        </w:rPr>
      </w:pPr>
      <w:r>
        <w:rPr>
          <w:b/>
          <w:i w:val="false"/>
          <w:color w:val="auto"/>
        </w:rPr>
        <w:t>Risk Assessment and Control</w:t>
      </w:r>
    </w:p>
    <w:p>
      <w:pPr>
        <w:pStyle w:val="Normal"/>
        <w:jc w:val="both"/>
        <w:rPr>
          <w:b/>
          <w:i/>
          <w:i/>
          <w:color w:val="auto"/>
          <w:sz w:val="20"/>
        </w:rPr>
      </w:pPr>
      <w:r>
        <w:rPr>
          <w:b/>
          <w:i/>
          <w:color w:val="auto"/>
          <w:sz w:val="20"/>
        </w:rPr>
      </w:r>
    </w:p>
    <w:p>
      <w:pPr>
        <w:pStyle w:val="Normal"/>
        <w:numPr>
          <w:ilvl w:val="0"/>
          <w:numId w:val="26"/>
        </w:numPr>
        <w:jc w:val="both"/>
        <w:rPr>
          <w:sz w:val="20"/>
        </w:rPr>
      </w:pPr>
      <w:r>
        <w:rPr>
          <w:sz w:val="20"/>
        </w:rPr>
        <w:t>Total foreign exchange exposure quantified and communicated to the Board of Directors.</w:t>
      </w:r>
    </w:p>
    <w:p>
      <w:pPr>
        <w:pStyle w:val="Normal"/>
        <w:jc w:val="both"/>
        <w:rPr>
          <w:sz w:val="20"/>
        </w:rPr>
      </w:pPr>
      <w:r>
        <w:rPr>
          <w:sz w:val="20"/>
        </w:rPr>
      </w:r>
    </w:p>
    <w:p>
      <w:pPr>
        <w:pStyle w:val="Normal"/>
        <w:numPr>
          <w:ilvl w:val="0"/>
          <w:numId w:val="38"/>
        </w:numPr>
        <w:tabs>
          <w:tab w:val="clear" w:pos="720"/>
          <w:tab w:val="left" w:pos="360" w:leader="none"/>
        </w:tabs>
        <w:ind w:hanging="144" w:start="144" w:end="0"/>
        <w:jc w:val="both"/>
        <w:rPr>
          <w:sz w:val="20"/>
        </w:rPr>
      </w:pPr>
      <w:r>
        <w:rPr>
          <w:sz w:val="20"/>
        </w:rPr>
        <w:t>Establish risk and trading control process for risks unique to EES.</w:t>
      </w:r>
    </w:p>
    <w:p>
      <w:pPr>
        <w:pStyle w:val="Normal"/>
        <w:jc w:val="both"/>
        <w:rPr>
          <w:sz w:val="20"/>
        </w:rPr>
      </w:pPr>
      <w:r>
        <w:rPr>
          <w:sz w:val="20"/>
        </w:rPr>
      </w:r>
    </w:p>
    <w:p>
      <w:pPr>
        <w:pStyle w:val="Normal"/>
        <w:numPr>
          <w:ilvl w:val="0"/>
          <w:numId w:val="38"/>
        </w:numPr>
        <w:tabs>
          <w:tab w:val="clear" w:pos="720"/>
          <w:tab w:val="left" w:pos="360" w:leader="none"/>
        </w:tabs>
        <w:ind w:hanging="144" w:start="144" w:end="0"/>
        <w:jc w:val="both"/>
        <w:rPr>
          <w:sz w:val="20"/>
        </w:rPr>
      </w:pPr>
      <w:r>
        <w:rPr>
          <w:sz w:val="20"/>
        </w:rPr>
        <w:t>Globalize risk management policy beyond Houston and London.</w:t>
      </w:r>
    </w:p>
    <w:p>
      <w:pPr>
        <w:pStyle w:val="Normal"/>
        <w:numPr>
          <w:ilvl w:val="0"/>
          <w:numId w:val="0"/>
        </w:numPr>
        <w:ind w:hanging="360" w:start="360" w:end="0"/>
        <w:jc w:val="both"/>
        <w:rPr>
          <w:sz w:val="20"/>
        </w:rPr>
      </w:pPr>
      <w:r>
        <w:rPr>
          <w:sz w:val="20"/>
        </w:rPr>
      </w:r>
    </w:p>
    <w:p>
      <w:pPr>
        <w:pStyle w:val="Heading6"/>
        <w:ind w:hanging="0" w:start="0"/>
        <w:jc w:val="both"/>
        <w:rPr>
          <w:b/>
          <w:i w:val="false"/>
          <w:i w:val="false"/>
          <w:color w:val="auto"/>
        </w:rPr>
      </w:pPr>
      <w:r>
        <w:rPr>
          <w:b/>
          <w:i w:val="false"/>
          <w:color w:val="auto"/>
        </w:rPr>
        <w:t>Accounting</w:t>
      </w:r>
    </w:p>
    <w:p>
      <w:pPr>
        <w:pStyle w:val="Normal"/>
        <w:jc w:val="both"/>
        <w:rPr>
          <w:b/>
          <w:i/>
          <w:i/>
          <w:color w:val="auto"/>
          <w:sz w:val="20"/>
          <w:u w:val="single"/>
        </w:rPr>
      </w:pPr>
      <w:r>
        <w:rPr>
          <w:b/>
          <w:i/>
          <w:color w:val="auto"/>
          <w:sz w:val="20"/>
          <w:u w:val="single"/>
        </w:rPr>
      </w:r>
    </w:p>
    <w:p>
      <w:pPr>
        <w:pStyle w:val="Normal"/>
        <w:numPr>
          <w:ilvl w:val="0"/>
          <w:numId w:val="40"/>
        </w:numPr>
        <w:jc w:val="both"/>
        <w:rPr>
          <w:sz w:val="20"/>
        </w:rPr>
      </w:pPr>
      <w:r>
        <w:rPr>
          <w:sz w:val="20"/>
        </w:rPr>
        <w:t>Successfully complete implementation of SAP.</w:t>
      </w:r>
    </w:p>
    <w:p>
      <w:pPr>
        <w:pStyle w:val="Normal"/>
        <w:jc w:val="both"/>
        <w:rPr>
          <w:sz w:val="20"/>
        </w:rPr>
      </w:pPr>
      <w:r>
        <w:rPr>
          <w:sz w:val="20"/>
        </w:rPr>
      </w:r>
    </w:p>
    <w:p>
      <w:pPr>
        <w:pStyle w:val="Normal"/>
        <w:numPr>
          <w:ilvl w:val="0"/>
          <w:numId w:val="40"/>
        </w:numPr>
        <w:jc w:val="both"/>
        <w:rPr>
          <w:sz w:val="20"/>
        </w:rPr>
      </w:pPr>
      <w:r>
        <w:rPr>
          <w:sz w:val="20"/>
        </w:rPr>
        <w:t>Implement strategic sourcing initiative resulting in $100 million of global savings and e-commerce capabilities to market services to 3</w:t>
      </w:r>
      <w:r>
        <w:rPr>
          <w:sz w:val="20"/>
          <w:vertAlign w:val="superscript"/>
        </w:rPr>
        <w:t>rd</w:t>
      </w:r>
      <w:r>
        <w:rPr>
          <w:sz w:val="20"/>
        </w:rPr>
        <w:t xml:space="preserve"> parties. </w:t>
      </w:r>
    </w:p>
    <w:p>
      <w:pPr>
        <w:pStyle w:val="Normal"/>
        <w:jc w:val="both"/>
        <w:rPr>
          <w:sz w:val="20"/>
        </w:rPr>
      </w:pPr>
      <w:r>
        <w:rPr>
          <w:sz w:val="20"/>
        </w:rPr>
      </w:r>
    </w:p>
    <w:p>
      <w:pPr>
        <w:pStyle w:val="Heading5"/>
        <w:jc w:val="both"/>
        <w:rPr>
          <w:b/>
          <w:i w:val="false"/>
          <w:i w:val="false"/>
          <w:color w:val="auto"/>
        </w:rPr>
      </w:pPr>
      <w:r>
        <w:rPr>
          <w:b/>
          <w:i w:val="false"/>
          <w:color w:val="auto"/>
        </w:rPr>
        <w:t>Investor Relations</w:t>
      </w:r>
    </w:p>
    <w:p>
      <w:pPr>
        <w:pStyle w:val="Normal"/>
        <w:numPr>
          <w:ilvl w:val="0"/>
          <w:numId w:val="0"/>
        </w:numPr>
        <w:ind w:hanging="360" w:start="360" w:end="0"/>
        <w:jc w:val="both"/>
        <w:rPr>
          <w:b/>
          <w:i/>
          <w:i/>
          <w:color w:val="auto"/>
          <w:sz w:val="20"/>
          <w:u w:val="single"/>
        </w:rPr>
      </w:pPr>
      <w:r>
        <w:rPr>
          <w:b/>
          <w:i/>
          <w:color w:val="auto"/>
          <w:sz w:val="20"/>
          <w:u w:val="single"/>
        </w:rPr>
      </w:r>
    </w:p>
    <w:p>
      <w:pPr>
        <w:pStyle w:val="Normal"/>
        <w:numPr>
          <w:ilvl w:val="0"/>
          <w:numId w:val="40"/>
        </w:numPr>
        <w:jc w:val="both"/>
        <w:rPr>
          <w:sz w:val="20"/>
        </w:rPr>
      </w:pPr>
      <w:r>
        <w:rPr>
          <w:sz w:val="20"/>
        </w:rPr>
        <w:t>Continue delivery of a coordinated and targeted global investor communication, generating premium valuations for Wholesale Energy, Retail Energy and Broadband Services.</w:t>
      </w:r>
    </w:p>
    <w:p>
      <w:pPr>
        <w:pStyle w:val="ListBullet2"/>
        <w:rPr>
          <w:sz w:val="20"/>
        </w:rPr>
      </w:pPr>
      <w:r>
        <w:rPr>
          <w:sz w:val="20"/>
        </w:rPr>
      </w:r>
    </w:p>
    <w:p>
      <w:pPr>
        <w:pStyle w:val="Heading6"/>
        <w:ind w:hanging="0" w:start="0"/>
        <w:jc w:val="both"/>
        <w:rPr>
          <w:b/>
          <w:i w:val="false"/>
          <w:i w:val="false"/>
          <w:color w:val="auto"/>
        </w:rPr>
      </w:pPr>
      <w:r>
        <w:rPr>
          <w:b/>
          <w:i w:val="false"/>
          <w:color w:val="auto"/>
        </w:rPr>
        <w:t>Corporate Development</w:t>
      </w:r>
    </w:p>
    <w:p>
      <w:pPr>
        <w:pStyle w:val="Normal"/>
        <w:ind w:start="144" w:end="0"/>
        <w:jc w:val="both"/>
        <w:rPr>
          <w:b/>
          <w:i/>
          <w:i/>
          <w:color w:val="auto"/>
          <w:sz w:val="20"/>
        </w:rPr>
      </w:pPr>
      <w:r>
        <w:rPr>
          <w:b/>
          <w:i/>
          <w:color w:val="auto"/>
          <w:sz w:val="20"/>
        </w:rPr>
      </w:r>
    </w:p>
    <w:p>
      <w:pPr>
        <w:pStyle w:val="Normal"/>
        <w:numPr>
          <w:ilvl w:val="0"/>
          <w:numId w:val="28"/>
        </w:numPr>
        <w:jc w:val="both"/>
        <w:rPr>
          <w:sz w:val="20"/>
        </w:rPr>
      </w:pPr>
      <w:r>
        <w:rPr>
          <w:sz w:val="20"/>
        </w:rPr>
        <w:t>Develop a consistent approach to the acquisition process company-wide.</w:t>
      </w:r>
    </w:p>
    <w:p>
      <w:pPr>
        <w:pStyle w:val="ListBullet2"/>
        <w:rPr>
          <w:sz w:val="20"/>
        </w:rPr>
      </w:pPr>
      <w:r>
        <w:rPr>
          <w:sz w:val="20"/>
        </w:rPr>
      </w:r>
    </w:p>
    <w:p>
      <w:pPr>
        <w:pStyle w:val="Heading4"/>
        <w:ind w:hanging="0" w:start="0"/>
        <w:jc w:val="both"/>
        <w:rPr>
          <w:b/>
          <w:i w:val="false"/>
          <w:i w:val="false"/>
        </w:rPr>
      </w:pPr>
      <w:r>
        <w:rPr>
          <w:b/>
          <w:i w:val="false"/>
        </w:rPr>
        <w:t>Public Affairs</w:t>
      </w:r>
    </w:p>
    <w:p>
      <w:pPr>
        <w:pStyle w:val="Normal"/>
        <w:jc w:val="both"/>
        <w:rPr>
          <w:b/>
          <w:i/>
          <w:i/>
          <w:sz w:val="20"/>
        </w:rPr>
      </w:pPr>
      <w:r>
        <w:rPr>
          <w:b/>
          <w:i/>
          <w:sz w:val="20"/>
        </w:rPr>
      </w:r>
    </w:p>
    <w:p>
      <w:pPr>
        <w:pStyle w:val="Normal"/>
        <w:numPr>
          <w:ilvl w:val="0"/>
          <w:numId w:val="27"/>
        </w:numPr>
        <w:jc w:val="both"/>
        <w:rPr>
          <w:sz w:val="20"/>
        </w:rPr>
      </w:pPr>
      <w:r>
        <w:rPr>
          <w:sz w:val="20"/>
        </w:rPr>
        <w:t>Expansion of influence in standard setting process for wholesale and retail energy markets.</w:t>
      </w:r>
    </w:p>
    <w:p>
      <w:pPr>
        <w:pStyle w:val="Normal"/>
        <w:jc w:val="both"/>
        <w:rPr>
          <w:sz w:val="20"/>
        </w:rPr>
      </w:pPr>
      <w:r>
        <w:rPr>
          <w:sz w:val="20"/>
        </w:rPr>
      </w:r>
    </w:p>
    <w:p>
      <w:pPr>
        <w:pStyle w:val="Normal"/>
        <w:numPr>
          <w:ilvl w:val="0"/>
          <w:numId w:val="31"/>
        </w:numPr>
        <w:jc w:val="both"/>
        <w:rPr>
          <w:sz w:val="20"/>
        </w:rPr>
      </w:pPr>
      <w:r>
        <w:rPr>
          <w:sz w:val="20"/>
        </w:rPr>
        <w:t>Measurable value created by government affairs in excess of budget through protection of existing assets and positions, support for new transactions, and success in market opening activities</w:t>
      </w:r>
    </w:p>
    <w:p>
      <w:pPr>
        <w:pStyle w:val="Normal"/>
        <w:jc w:val="both"/>
        <w:rPr>
          <w:sz w:val="20"/>
        </w:rPr>
      </w:pPr>
      <w:r>
        <w:rPr>
          <w:sz w:val="20"/>
        </w:rPr>
      </w:r>
    </w:p>
    <w:p>
      <w:pPr>
        <w:pStyle w:val="Normal"/>
        <w:numPr>
          <w:ilvl w:val="0"/>
          <w:numId w:val="31"/>
        </w:numPr>
        <w:jc w:val="both"/>
        <w:rPr>
          <w:sz w:val="20"/>
        </w:rPr>
      </w:pPr>
      <w:r>
        <w:rPr>
          <w:sz w:val="20"/>
        </w:rPr>
        <w:t>Significant, measurable improvement in Enron’s reputation (familiarity and favorability) through the successful launch of the brand campaign, establishment of a “21</w:t>
      </w:r>
      <w:r>
        <w:rPr>
          <w:sz w:val="20"/>
          <w:vertAlign w:val="superscript"/>
        </w:rPr>
        <w:t>st</w:t>
      </w:r>
      <w:r>
        <w:rPr>
          <w:sz w:val="20"/>
        </w:rPr>
        <w:t xml:space="preserve"> Century Company” reputation with key international organizations and continued active media relations to produce favorable earned media.</w:t>
      </w:r>
      <w:r>
        <w:br w:type="page"/>
      </w:r>
    </w:p>
    <w:p>
      <w:pPr>
        <w:pStyle w:val="Normal"/>
        <w:jc w:val="both"/>
        <w:rPr>
          <w:sz w:val="20"/>
        </w:rPr>
      </w:pPr>
      <w:r>
        <w:rPr>
          <w:sz w:val="20"/>
        </w:rPr>
      </w:r>
    </w:p>
    <w:p>
      <w:pPr>
        <w:pStyle w:val="Heading4"/>
        <w:ind w:hanging="0" w:start="0"/>
        <w:jc w:val="both"/>
        <w:rPr>
          <w:b/>
          <w:i w:val="false"/>
          <w:i w:val="false"/>
        </w:rPr>
      </w:pPr>
      <w:r>
        <w:rPr>
          <w:b/>
          <w:i w:val="false"/>
        </w:rPr>
        <w:t>Human Resources</w:t>
      </w:r>
    </w:p>
    <w:p>
      <w:pPr>
        <w:pStyle w:val="Normal"/>
        <w:jc w:val="both"/>
        <w:rPr>
          <w:b/>
          <w:i/>
          <w:i/>
          <w:sz w:val="20"/>
        </w:rPr>
      </w:pPr>
      <w:r>
        <w:rPr>
          <w:b/>
          <w:i/>
          <w:sz w:val="20"/>
        </w:rPr>
      </w:r>
    </w:p>
    <w:p>
      <w:pPr>
        <w:pStyle w:val="Normal"/>
        <w:numPr>
          <w:ilvl w:val="0"/>
          <w:numId w:val="6"/>
        </w:numPr>
        <w:jc w:val="both"/>
        <w:rPr>
          <w:sz w:val="20"/>
        </w:rPr>
      </w:pPr>
      <w:r>
        <w:rPr>
          <w:sz w:val="20"/>
        </w:rPr>
        <w:t xml:space="preserve">Improve the efficiency of the HR organization by decreasing costs 20%. </w:t>
      </w:r>
    </w:p>
    <w:p>
      <w:pPr>
        <w:pStyle w:val="Normal"/>
        <w:jc w:val="both"/>
        <w:rPr>
          <w:sz w:val="20"/>
        </w:rPr>
      </w:pPr>
      <w:r>
        <w:rPr>
          <w:sz w:val="20"/>
        </w:rPr>
      </w:r>
    </w:p>
    <w:p>
      <w:pPr>
        <w:pStyle w:val="Normal"/>
        <w:numPr>
          <w:ilvl w:val="0"/>
          <w:numId w:val="6"/>
        </w:numPr>
        <w:jc w:val="both"/>
        <w:rPr>
          <w:sz w:val="20"/>
        </w:rPr>
      </w:pPr>
      <w:r>
        <w:rPr>
          <w:sz w:val="20"/>
        </w:rPr>
        <w:t>Develop an Enron measure for return on human capital.</w:t>
      </w:r>
    </w:p>
    <w:p>
      <w:pPr>
        <w:pStyle w:val="Normal"/>
        <w:jc w:val="both"/>
        <w:rPr>
          <w:sz w:val="20"/>
        </w:rPr>
      </w:pPr>
      <w:r>
        <w:rPr>
          <w:sz w:val="20"/>
        </w:rPr>
      </w:r>
    </w:p>
    <w:p>
      <w:pPr>
        <w:pStyle w:val="Normal"/>
        <w:numPr>
          <w:ilvl w:val="0"/>
          <w:numId w:val="6"/>
        </w:numPr>
        <w:jc w:val="both"/>
        <w:rPr>
          <w:sz w:val="20"/>
        </w:rPr>
      </w:pPr>
      <w:r>
        <w:rPr>
          <w:sz w:val="20"/>
        </w:rPr>
        <w:t>Be named by Fortune Magazine as one of the top 10 “100 Best Companies to Work for in America”.</w:t>
      </w:r>
    </w:p>
    <w:p>
      <w:pPr>
        <w:pStyle w:val="Normal"/>
        <w:jc w:val="both"/>
        <w:rPr>
          <w:sz w:val="20"/>
        </w:rPr>
      </w:pPr>
      <w:r>
        <w:rPr>
          <w:sz w:val="20"/>
        </w:rPr>
      </w:r>
    </w:p>
    <w:sectPr>
      <w:footerReference w:type="default" r:id="rId2"/>
      <w:type w:val="nextPage"/>
      <w:pgSz w:w="12240" w:h="15840"/>
      <w:pgMar w:left="2160" w:right="21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Unicode">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504"/>
        </w:tabs>
        <w:ind w:start="288" w:hanging="144"/>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504"/>
        </w:tabs>
        <w:ind w:start="288" w:hanging="144"/>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504"/>
        </w:tabs>
        <w:ind w:start="288" w:hanging="144"/>
      </w:pPr>
      <w:rPr>
        <w:rFonts w:ascii="Symbol" w:hAnsi="Symbol" w:cs="Symbol" w:hint="default"/>
      </w:rPr>
    </w:lvl>
  </w:abstractNum>
  <w:abstractNum w:abstractNumId="16">
    <w:lvl w:ilvl="0">
      <w:start w:val="1"/>
      <w:numFmt w:val="bullet"/>
      <w:lvlText w:val=""/>
      <w:lvlJc w:val="start"/>
      <w:pPr>
        <w:tabs>
          <w:tab w:val="num" w:pos="504"/>
        </w:tabs>
        <w:ind w:start="288" w:hanging="144"/>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504"/>
        </w:tabs>
        <w:ind w:start="288" w:hanging="144"/>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504"/>
        </w:tabs>
        <w:ind w:start="288" w:hanging="144"/>
      </w:pPr>
      <w:rPr>
        <w:rFonts w:ascii="Symbol" w:hAnsi="Symbol" w:cs="Symbol" w:hint="default"/>
      </w:rPr>
    </w:lvl>
  </w:abstractNum>
  <w:abstractNum w:abstractNumId="22">
    <w:lvl w:ilvl="0">
      <w:start w:val="1"/>
      <w:numFmt w:val="bullet"/>
      <w:lvlText w:val=""/>
      <w:lvlJc w:val="start"/>
      <w:pPr>
        <w:tabs>
          <w:tab w:val="num" w:pos="504"/>
        </w:tabs>
        <w:ind w:start="288" w:hanging="144"/>
      </w:pPr>
      <w:rPr>
        <w:rFonts w:ascii="Symbol" w:hAnsi="Symbol" w:cs="Symbol" w:hint="default"/>
        <w:color w:val="auto"/>
      </w:rPr>
    </w:lvl>
  </w:abstractNum>
  <w:abstractNum w:abstractNumId="23">
    <w:lvl w:ilvl="0">
      <w:start w:val="1"/>
      <w:numFmt w:val="bullet"/>
      <w:lvlText w:val=""/>
      <w:lvlJc w:val="start"/>
      <w:pPr>
        <w:tabs>
          <w:tab w:val="num" w:pos="504"/>
        </w:tabs>
        <w:ind w:start="288" w:hanging="144"/>
      </w:pPr>
      <w:rPr>
        <w:rFonts w:ascii="Symbol" w:hAnsi="Symbol" w:cs="Symbol" w:hint="default"/>
        <w:color w:val="auto"/>
      </w:rPr>
    </w:lvl>
  </w:abstractNum>
  <w:abstractNum w:abstractNumId="24">
    <w:lvl w:ilvl="0">
      <w:start w:val="1"/>
      <w:numFmt w:val="bullet"/>
      <w:lvlText w:val=""/>
      <w:lvlJc w:val="start"/>
      <w:pPr>
        <w:tabs>
          <w:tab w:val="num" w:pos="504"/>
        </w:tabs>
        <w:ind w:start="288" w:hanging="144"/>
      </w:pPr>
      <w:rPr>
        <w:rFonts w:ascii="Symbol" w:hAnsi="Symbol" w:cs="Symbol" w:hint="default"/>
        <w:color w:val="auto"/>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504"/>
        </w:tabs>
        <w:ind w:start="288" w:hanging="144"/>
      </w:pPr>
      <w:rPr>
        <w:rFonts w:ascii="Symbol" w:hAnsi="Symbol" w:cs="Symbol" w:hint="default"/>
        <w:color w:val="auto"/>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504"/>
        </w:tabs>
        <w:ind w:start="288" w:hanging="144"/>
      </w:pPr>
      <w:rPr>
        <w:rFonts w:ascii="Symbol" w:hAnsi="Symbol" w:cs="Symbol" w:hint="default"/>
        <w:color w:val="auto"/>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2"/>
      <w:kern w:val="2"/>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outlineLvl w:val="1"/>
    </w:pPr>
    <w:rPr>
      <w:b/>
      <w:color w:val="000000"/>
      <w:sz w:val="20"/>
      <w:u w:val="single"/>
    </w:rPr>
  </w:style>
  <w:style w:type="paragraph" w:styleId="Heading3">
    <w:name w:val="heading 3"/>
    <w:basedOn w:val="Normal"/>
    <w:next w:val="Normal"/>
    <w:qFormat/>
    <w:pPr>
      <w:keepNext w:val="true"/>
      <w:numPr>
        <w:ilvl w:val="2"/>
        <w:numId w:val="1"/>
      </w:numPr>
      <w:jc w:val="center"/>
      <w:outlineLvl w:val="2"/>
    </w:pPr>
    <w:rPr>
      <w:b/>
      <w:sz w:val="20"/>
      <w:u w:val="single"/>
    </w:rPr>
  </w:style>
  <w:style w:type="paragraph" w:styleId="Heading4">
    <w:name w:val="heading 4"/>
    <w:basedOn w:val="Normal"/>
    <w:next w:val="Normal"/>
    <w:qFormat/>
    <w:pPr>
      <w:keepNext w:val="true"/>
      <w:numPr>
        <w:ilvl w:val="3"/>
        <w:numId w:val="1"/>
      </w:numPr>
      <w:outlineLvl w:val="3"/>
    </w:pPr>
    <w:rPr>
      <w:i/>
      <w:sz w:val="20"/>
      <w:u w:val="single"/>
    </w:rPr>
  </w:style>
  <w:style w:type="paragraph" w:styleId="Heading5">
    <w:name w:val="heading 5"/>
    <w:basedOn w:val="Normal"/>
    <w:next w:val="Normal"/>
    <w:qFormat/>
    <w:pPr>
      <w:keepNext w:val="true"/>
      <w:numPr>
        <w:ilvl w:val="4"/>
        <w:numId w:val="1"/>
      </w:numPr>
      <w:ind w:hanging="360" w:start="360" w:end="0"/>
      <w:outlineLvl w:val="4"/>
    </w:pPr>
    <w:rPr>
      <w:i/>
      <w:color w:val="0000FF"/>
      <w:sz w:val="20"/>
      <w:u w:val="single"/>
    </w:rPr>
  </w:style>
  <w:style w:type="paragraph" w:styleId="Heading6">
    <w:name w:val="heading 6"/>
    <w:basedOn w:val="Normal"/>
    <w:next w:val="Normal"/>
    <w:qFormat/>
    <w:pPr>
      <w:keepNext w:val="true"/>
      <w:numPr>
        <w:ilvl w:val="5"/>
        <w:numId w:val="1"/>
      </w:numPr>
      <w:outlineLvl w:val="5"/>
    </w:pPr>
    <w:rPr>
      <w:i/>
      <w:color w:val="0000FF"/>
      <w:sz w:val="20"/>
      <w:u w:val="single"/>
    </w:rPr>
  </w:style>
  <w:style w:type="paragraph" w:styleId="Heading7">
    <w:name w:val="heading 7"/>
    <w:basedOn w:val="Normal"/>
    <w:next w:val="Normal"/>
    <w:qFormat/>
    <w:pPr>
      <w:keepNext w:val="true"/>
      <w:numPr>
        <w:ilvl w:val="6"/>
        <w:numId w:val="1"/>
      </w:numPr>
      <w:ind w:hanging="360" w:start="360" w:end="0"/>
      <w:jc w:val="center"/>
      <w:outlineLvl w:val="6"/>
    </w:pPr>
    <w:rPr>
      <w:b/>
      <w:sz w:val="20"/>
      <w:u w:val="single"/>
    </w:rPr>
  </w:style>
  <w:style w:type="paragraph" w:styleId="Heading8">
    <w:name w:val="heading 8"/>
    <w:basedOn w:val="Normal"/>
    <w:next w:val="Normal"/>
    <w:qFormat/>
    <w:pPr>
      <w:keepNext w:val="true"/>
      <w:numPr>
        <w:ilvl w:val="7"/>
        <w:numId w:val="1"/>
      </w:numPr>
      <w:outlineLvl w:val="7"/>
    </w:pPr>
    <w:rPr>
      <w:color w:val="0000FF"/>
      <w:sz w:val="20"/>
      <w:u w:val="single"/>
    </w:rPr>
  </w:style>
  <w:style w:type="paragraph" w:styleId="Heading9">
    <w:name w:val="heading 9"/>
    <w:basedOn w:val="Normal"/>
    <w:next w:val="Normal"/>
    <w:qFormat/>
    <w:pPr>
      <w:keepNext w:val="true"/>
      <w:numPr>
        <w:ilvl w:val="8"/>
        <w:numId w:val="1"/>
      </w:numPr>
      <w:outlineLvl w:val="8"/>
    </w:pPr>
    <w:rPr>
      <w:b/>
    </w:rPr>
  </w:style>
  <w:style w:type="character" w:styleId="WW8Num1z0">
    <w:name w:val="WW8Num1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Lucida Sans Unicode" w:hAnsi="Lucida Sans Unicode" w:cs="Lucida Sans Unicode"/>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3z0">
    <w:name w:val="WW8Num73z0"/>
    <w:qFormat/>
    <w:rPr>
      <w:rFonts w:ascii="Symbol" w:hAnsi="Symbol" w:cs="Symbol"/>
    </w:rPr>
  </w:style>
  <w:style w:type="character" w:styleId="WW8Num74z0">
    <w:name w:val="WW8Num74z0"/>
    <w:qFormat/>
    <w:rPr>
      <w:rFonts w:ascii="Symbol" w:hAnsi="Symbol" w:cs="Symbol"/>
      <w:color w:val="auto"/>
    </w:rPr>
  </w:style>
  <w:style w:type="character" w:styleId="WW8Num75z0">
    <w:name w:val="WW8Num75z0"/>
    <w:qFormat/>
    <w:rPr>
      <w:rFonts w:ascii="Symbol" w:hAnsi="Symbol" w:cs="Symbol"/>
      <w:color w:val="auto"/>
    </w:rPr>
  </w:style>
  <w:style w:type="character" w:styleId="WW8Num76z0">
    <w:name w:val="WW8Num76z0"/>
    <w:qFormat/>
    <w:rPr>
      <w:rFonts w:ascii="Wingdings" w:hAnsi="Wingdings" w:cs="Wingdings"/>
    </w:rPr>
  </w:style>
  <w:style w:type="character" w:styleId="WW8Num77z0">
    <w:name w:val="WW8Num77z0"/>
    <w:qFormat/>
    <w:rPr>
      <w:rFonts w:ascii="Symbol" w:hAnsi="Symbol" w:cs="Symbol"/>
      <w:color w:val="auto"/>
    </w:rPr>
  </w:style>
  <w:style w:type="character" w:styleId="WW8Num78z0">
    <w:name w:val="WW8Num78z0"/>
    <w:qFormat/>
    <w:rPr>
      <w:rFonts w:ascii="Symbol" w:hAnsi="Symbol" w:cs="Symbol"/>
      <w:color w:val="auto"/>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color w:val="auto"/>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Lucida Console" w:hAnsi="Lucida Console" w:cs="Lucida Console"/>
      <w:sz w:val="16"/>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Lucida Console" w:hAnsi="Lucida Console" w:cs="Lucida Console"/>
      <w:sz w:val="16"/>
    </w:rPr>
  </w:style>
  <w:style w:type="character" w:styleId="WW8Num105z0">
    <w:name w:val="WW8Num105z0"/>
    <w:qFormat/>
    <w:rPr>
      <w:rFonts w:ascii="Symbol" w:hAnsi="Symbol" w:cs="Symbol"/>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color w:val="auto"/>
    </w:rPr>
  </w:style>
  <w:style w:type="character" w:styleId="WW8Num108z0">
    <w:name w:val="WW8Num108z0"/>
    <w:qFormat/>
    <w:rPr>
      <w:rFonts w:ascii="Symbol" w:hAnsi="Symbol" w:cs="Symbol"/>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color w:val="auto"/>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Lucida Sans Unicode" w:hAnsi="Lucida Sans Unicode" w:cs="Lucida Sans Unicode"/>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color w:val="auto"/>
    </w:rPr>
  </w:style>
  <w:style w:type="character" w:styleId="WW8Num157z0">
    <w:name w:val="WW8Num157z0"/>
    <w:qFormat/>
    <w:rPr>
      <w:rFonts w:ascii="Symbol" w:hAnsi="Symbol" w:cs="Symbol"/>
      <w:color w:val="auto"/>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color w:val="auto"/>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Lucida Console" w:hAnsi="Lucida Console" w:cs="Lucida Console"/>
      <w:sz w:val="16"/>
    </w:rPr>
  </w:style>
  <w:style w:type="character" w:styleId="WW8Num177z0">
    <w:name w:val="WW8Num177z0"/>
    <w:qFormat/>
    <w:rPr>
      <w:rFonts w:ascii="Symbol" w:hAnsi="Symbol" w:cs="Symbol"/>
      <w:color w:val="auto"/>
    </w:rPr>
  </w:style>
  <w:style w:type="character" w:styleId="WW8Num178z0">
    <w:name w:val="WW8Num178z0"/>
    <w:qFormat/>
    <w:rPr>
      <w:rFonts w:ascii="Symbol" w:hAnsi="Symbol" w:cs="Symbol"/>
    </w:rPr>
  </w:style>
  <w:style w:type="character" w:styleId="WW8Num179z0">
    <w:name w:val="WW8Num179z0"/>
    <w:qFormat/>
    <w:rPr>
      <w:rFonts w:ascii="Symbol" w:hAnsi="Symbol" w:cs="Symbol"/>
      <w:color w:val="auto"/>
    </w:rPr>
  </w:style>
  <w:style w:type="character" w:styleId="WW8Num180z0">
    <w:name w:val="WW8Num180z0"/>
    <w:qFormat/>
    <w:rPr>
      <w:rFonts w:ascii="Symbol" w:hAnsi="Symbol" w:cs="Symbol"/>
    </w:rPr>
  </w:style>
  <w:style w:type="character" w:styleId="WW8Num181z0">
    <w:name w:val="WW8Num181z0"/>
    <w:qFormat/>
    <w:rPr>
      <w:rFonts w:ascii="Symbol" w:hAnsi="Symbol" w:cs="Symbol"/>
      <w:color w:val="auto"/>
    </w:rPr>
  </w:style>
  <w:style w:type="character" w:styleId="WW8Num182z0">
    <w:name w:val="WW8Num182z0"/>
    <w:qFormat/>
    <w:rPr>
      <w:rFonts w:ascii="Symbol" w:hAnsi="Symbol" w:cs="Symbol"/>
      <w:color w:val="auto"/>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color w:val="auto"/>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tabs>
        <w:tab w:val="clear" w:pos="720"/>
        <w:tab w:val="left" w:pos="54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qFormat/>
    <w:pPr>
      <w:jc w:val="both"/>
    </w:pPr>
    <w:rPr>
      <w:sz w:val="20"/>
    </w:rPr>
  </w:style>
  <w:style w:type="paragraph" w:styleId="BodyText2">
    <w:name w:val="Body Text 2"/>
    <w:basedOn w:val="Normal"/>
    <w:qFormat/>
    <w:pPr/>
    <w:rPr>
      <w:color w:val="000000"/>
      <w:sz w:val="20"/>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2000-02-02T21:09:00Z</dcterms:created>
  <dc:creator>Enron User</dc:creator>
  <dc:description/>
  <dc:language>en-CA</dc:language>
  <cp:lastModifiedBy>twest</cp:lastModifiedBy>
  <cp:lastPrinted>2000-01-31T15:02:00Z</cp:lastPrinted>
  <dcterms:modified xsi:type="dcterms:W3CDTF">2000-02-02T21:09:00Z</dcterms:modified>
  <cp:revision>2</cp:revision>
  <dc:subject/>
  <dc:title>1998 Enron Strategic Goals</dc:title>
</cp:coreProperties>
</file>