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RESPONSE OF ENRON POWER MARKETING INC.</w:t>
      </w:r>
    </w:p>
    <w:p>
      <w:pPr>
        <w:pStyle w:val="Normal"/>
        <w:jc w:val="center"/>
        <w:rPr>
          <w:b/>
          <w:sz w:val="24"/>
        </w:rPr>
      </w:pPr>
      <w:r>
        <w:rPr>
          <w:b/>
          <w:sz w:val="24"/>
        </w:rPr>
        <w:t>TO FERC MARCH 21, 2001 DATA REQUEST</w:t>
      </w:r>
    </w:p>
    <w:p>
      <w:pPr>
        <w:pStyle w:val="Normal"/>
        <w:jc w:val="center"/>
        <w:rPr>
          <w:b/>
          <w:sz w:val="24"/>
        </w:rPr>
      </w:pPr>
      <w:r>
        <w:rPr>
          <w:b/>
          <w:sz w:val="24"/>
        </w:rPr>
      </w:r>
    </w:p>
    <w:p>
      <w:pPr>
        <w:pStyle w:val="Normal"/>
        <w:rPr>
          <w:b/>
          <w:sz w:val="24"/>
        </w:rPr>
      </w:pPr>
      <w:r>
        <w:rPr>
          <w:b/>
          <w:sz w:val="24"/>
        </w:rPr>
      </w:r>
    </w:p>
    <w:p>
      <w:pPr>
        <w:pStyle w:val="Normal"/>
        <w:rPr>
          <w:sz w:val="24"/>
        </w:rPr>
      </w:pPr>
      <w:r>
        <w:rPr>
          <w:b/>
          <w:sz w:val="24"/>
          <w:u w:val="single"/>
        </w:rPr>
        <w:t xml:space="preserve">REQUEST </w:t>
      </w:r>
    </w:p>
    <w:p>
      <w:pPr>
        <w:pStyle w:val="Normal"/>
        <w:rPr>
          <w:sz w:val="24"/>
        </w:rPr>
      </w:pPr>
      <w:r>
        <w:rPr>
          <w:sz w:val="24"/>
        </w:rPr>
      </w:r>
    </w:p>
    <w:p>
      <w:pPr>
        <w:pStyle w:val="Normal"/>
        <w:rPr/>
      </w:pPr>
      <w:r>
        <w:rPr>
          <w:sz w:val="24"/>
        </w:rPr>
        <w:tab/>
        <w:t>Please provide the following information for transactions in the California PX day ahead and hour ahead markets and, with the California ISO, for ancillary services, energy, out of sequence and out of market transactions for the period October 2, 2000 through December 31, 200[0]:</w:t>
      </w:r>
      <w:r>
        <w:rPr>
          <w:rStyle w:val="FootnoteCharacters"/>
          <w:rStyle w:val="FootnoteReference"/>
          <w:sz w:val="24"/>
        </w:rPr>
        <w:footnoteReference w:id="2"/>
      </w:r>
      <w:r>
        <w:rPr>
          <w:sz w:val="24"/>
        </w:rPr>
        <w:t xml:space="preserve">  </w:t>
      </w:r>
    </w:p>
    <w:p>
      <w:pPr>
        <w:pStyle w:val="Normal"/>
        <w:rPr>
          <w:sz w:val="24"/>
        </w:rPr>
      </w:pPr>
      <w:r>
        <w:rPr>
          <w:sz w:val="24"/>
        </w:rPr>
      </w:r>
    </w:p>
    <w:p>
      <w:pPr>
        <w:pStyle w:val="Normal"/>
        <w:rPr>
          <w:sz w:val="24"/>
        </w:rPr>
      </w:pPr>
      <w:r>
        <w:rPr>
          <w:sz w:val="24"/>
        </w:rPr>
        <w:t>1.</w:t>
        <w:tab/>
        <w:t>Report in a single filing wholesale electric sales exceeding $150/MWh.  For each transaction above $150 MWh, provide the following information, in the order listed in an Excel spreadsheet or comma-delimited electronic file.  Provide a single row for each transaction and furnish column headings for the data in the first row of the file, including the following data:</w:t>
      </w:r>
    </w:p>
    <w:p>
      <w:pPr>
        <w:pStyle w:val="Normal"/>
        <w:rPr>
          <w:sz w:val="24"/>
        </w:rPr>
      </w:pPr>
      <w:r>
        <w:rPr>
          <w:sz w:val="24"/>
        </w:rPr>
      </w:r>
    </w:p>
    <w:p>
      <w:pPr>
        <w:pStyle w:val="Normal"/>
        <w:numPr>
          <w:ilvl w:val="0"/>
          <w:numId w:val="2"/>
        </w:numPr>
        <w:rPr>
          <w:sz w:val="24"/>
        </w:rPr>
      </w:pPr>
      <w:r>
        <w:rPr>
          <w:sz w:val="24"/>
        </w:rPr>
        <w:t>transaction identification number (unique identifier for each transaction)</w:t>
      </w:r>
    </w:p>
    <w:p>
      <w:pPr>
        <w:pStyle w:val="Normal"/>
        <w:numPr>
          <w:ilvl w:val="0"/>
          <w:numId w:val="2"/>
        </w:numPr>
        <w:rPr>
          <w:sz w:val="24"/>
        </w:rPr>
      </w:pPr>
      <w:r>
        <w:rPr>
          <w:sz w:val="24"/>
        </w:rPr>
        <w:t>whether the sale was into the ISO or a PX market (report ISO or PX)</w:t>
      </w:r>
    </w:p>
    <w:p>
      <w:pPr>
        <w:pStyle w:val="Normal"/>
        <w:numPr>
          <w:ilvl w:val="0"/>
          <w:numId w:val="2"/>
        </w:numPr>
        <w:rPr>
          <w:sz w:val="24"/>
        </w:rPr>
      </w:pPr>
      <w:r>
        <w:rPr>
          <w:sz w:val="24"/>
        </w:rPr>
        <w:t>the name of the bidder</w:t>
      </w:r>
    </w:p>
    <w:p>
      <w:pPr>
        <w:pStyle w:val="Normal"/>
        <w:numPr>
          <w:ilvl w:val="0"/>
          <w:numId w:val="2"/>
        </w:numPr>
        <w:rPr>
          <w:sz w:val="24"/>
        </w:rPr>
      </w:pPr>
      <w:r>
        <w:rPr>
          <w:sz w:val="24"/>
        </w:rPr>
        <w:t>transaction identification code as used by PX and ISO</w:t>
      </w:r>
    </w:p>
    <w:p>
      <w:pPr>
        <w:pStyle w:val="Normal"/>
        <w:numPr>
          <w:ilvl w:val="0"/>
          <w:numId w:val="2"/>
        </w:numPr>
        <w:rPr>
          <w:sz w:val="24"/>
        </w:rPr>
      </w:pPr>
      <w:r>
        <w:rPr>
          <w:sz w:val="24"/>
        </w:rPr>
        <w:t>the generation unit including the identification code as used by the PX and ISO</w:t>
      </w:r>
    </w:p>
    <w:p>
      <w:pPr>
        <w:pStyle w:val="Normal"/>
        <w:numPr>
          <w:ilvl w:val="0"/>
          <w:numId w:val="2"/>
        </w:numPr>
        <w:rPr>
          <w:sz w:val="24"/>
        </w:rPr>
      </w:pPr>
      <w:r>
        <w:rPr>
          <w:sz w:val="24"/>
        </w:rPr>
        <w:t>the market of service (energy, out-of-market, out-of-sequence or ancillary service for the ISO and the day ahead or hour ahead for the PX)</w:t>
      </w:r>
    </w:p>
    <w:p>
      <w:pPr>
        <w:pStyle w:val="Normal"/>
        <w:numPr>
          <w:ilvl w:val="0"/>
          <w:numId w:val="2"/>
        </w:numPr>
        <w:rPr>
          <w:sz w:val="24"/>
        </w:rPr>
      </w:pPr>
      <w:r>
        <w:rPr>
          <w:sz w:val="24"/>
        </w:rPr>
        <w:t>transaction starting date (mm/dd/yyyy)</w:t>
      </w:r>
    </w:p>
    <w:p>
      <w:pPr>
        <w:pStyle w:val="Normal"/>
        <w:numPr>
          <w:ilvl w:val="0"/>
          <w:numId w:val="2"/>
        </w:numPr>
        <w:rPr>
          <w:sz w:val="24"/>
        </w:rPr>
      </w:pPr>
      <w:r>
        <w:rPr>
          <w:sz w:val="24"/>
        </w:rPr>
        <w:t>transaction starting time (hh:mm)</w:t>
      </w:r>
    </w:p>
    <w:p>
      <w:pPr>
        <w:pStyle w:val="Normal"/>
        <w:numPr>
          <w:ilvl w:val="0"/>
          <w:numId w:val="2"/>
        </w:numPr>
        <w:rPr>
          <w:sz w:val="24"/>
        </w:rPr>
      </w:pPr>
      <w:r>
        <w:rPr>
          <w:sz w:val="24"/>
        </w:rPr>
        <w:t>transaction ending date (mm/dd/yyyy)</w:t>
      </w:r>
    </w:p>
    <w:p>
      <w:pPr>
        <w:pStyle w:val="Normal"/>
        <w:numPr>
          <w:ilvl w:val="0"/>
          <w:numId w:val="2"/>
        </w:numPr>
        <w:rPr>
          <w:sz w:val="24"/>
        </w:rPr>
      </w:pPr>
      <w:r>
        <w:rPr>
          <w:sz w:val="24"/>
        </w:rPr>
        <w:t>transaction ending time (hh:mm)</w:t>
      </w:r>
    </w:p>
    <w:p>
      <w:pPr>
        <w:pStyle w:val="Normal"/>
        <w:numPr>
          <w:ilvl w:val="0"/>
          <w:numId w:val="2"/>
        </w:numPr>
        <w:rPr>
          <w:sz w:val="24"/>
        </w:rPr>
      </w:pPr>
      <w:r>
        <w:rPr>
          <w:sz w:val="24"/>
        </w:rPr>
        <w:t>the bid price ($MWh)</w:t>
      </w:r>
    </w:p>
    <w:p>
      <w:pPr>
        <w:pStyle w:val="Normal"/>
        <w:numPr>
          <w:ilvl w:val="0"/>
          <w:numId w:val="2"/>
        </w:numPr>
        <w:rPr>
          <w:sz w:val="24"/>
        </w:rPr>
      </w:pPr>
      <w:r>
        <w:rPr>
          <w:sz w:val="24"/>
        </w:rPr>
        <w:t>the quantity (MWh)</w:t>
      </w:r>
    </w:p>
    <w:p>
      <w:pPr>
        <w:pStyle w:val="Normal"/>
        <w:numPr>
          <w:ilvl w:val="0"/>
          <w:numId w:val="2"/>
        </w:numPr>
        <w:rPr>
          <w:sz w:val="24"/>
        </w:rPr>
      </w:pPr>
      <w:r>
        <w:rPr>
          <w:sz w:val="24"/>
        </w:rPr>
        <w:t>heat rate (but/KWh)</w:t>
      </w:r>
    </w:p>
    <w:p>
      <w:pPr>
        <w:pStyle w:val="Normal"/>
        <w:numPr>
          <w:ilvl w:val="0"/>
          <w:numId w:val="2"/>
        </w:numPr>
        <w:rPr>
          <w:sz w:val="24"/>
        </w:rPr>
      </w:pPr>
      <w:r>
        <w:rPr>
          <w:sz w:val="24"/>
        </w:rPr>
        <w:t>the type of fuel used to generate (natural gas, oil, coal and other)</w:t>
      </w:r>
    </w:p>
    <w:p>
      <w:pPr>
        <w:pStyle w:val="Normal"/>
        <w:numPr>
          <w:ilvl w:val="0"/>
          <w:numId w:val="2"/>
        </w:numPr>
        <w:rPr>
          <w:sz w:val="24"/>
        </w:rPr>
      </w:pPr>
      <w:r>
        <w:rPr>
          <w:sz w:val="24"/>
        </w:rPr>
        <w:t>total fuel quantity</w:t>
      </w:r>
    </w:p>
    <w:p>
      <w:pPr>
        <w:pStyle w:val="Normal"/>
        <w:numPr>
          <w:ilvl w:val="0"/>
          <w:numId w:val="2"/>
        </w:numPr>
        <w:rPr>
          <w:sz w:val="24"/>
        </w:rPr>
      </w:pPr>
      <w:r>
        <w:rPr>
          <w:sz w:val="24"/>
        </w:rPr>
        <w:t>if not generated, the purchase price and the name of the supplier</w:t>
      </w:r>
    </w:p>
    <w:p>
      <w:pPr>
        <w:pStyle w:val="Normal"/>
        <w:rPr>
          <w:sz w:val="24"/>
        </w:rPr>
      </w:pPr>
      <w:r>
        <w:rPr>
          <w:sz w:val="24"/>
        </w:rPr>
      </w:r>
    </w:p>
    <w:p>
      <w:pPr>
        <w:pStyle w:val="Normal"/>
        <w:rPr>
          <w:sz w:val="24"/>
        </w:rPr>
      </w:pPr>
      <w:r>
        <w:rPr>
          <w:sz w:val="24"/>
        </w:rPr>
        <w:t>2.</w:t>
        <w:tab/>
        <w:t>If generated, the following data items should be included in the spreadsheet on a per megawatt basis:</w:t>
      </w:r>
    </w:p>
    <w:p>
      <w:pPr>
        <w:pStyle w:val="Normal"/>
        <w:numPr>
          <w:ilvl w:val="0"/>
          <w:numId w:val="1"/>
        </w:numPr>
        <w:rPr>
          <w:sz w:val="24"/>
        </w:rPr>
      </w:pPr>
      <w:r>
        <w:rPr>
          <w:sz w:val="24"/>
        </w:rPr>
        <w:t>fuel cost ($/MWh)</w:t>
      </w:r>
    </w:p>
    <w:p>
      <w:pPr>
        <w:pStyle w:val="Normal"/>
        <w:numPr>
          <w:ilvl w:val="0"/>
          <w:numId w:val="1"/>
        </w:numPr>
        <w:rPr>
          <w:sz w:val="24"/>
        </w:rPr>
      </w:pPr>
      <w:r>
        <w:rPr>
          <w:sz w:val="24"/>
        </w:rPr>
        <w:t>NOx emissions rate (lbs/MWh)</w:t>
      </w:r>
    </w:p>
    <w:p>
      <w:pPr>
        <w:pStyle w:val="Normal"/>
        <w:numPr>
          <w:ilvl w:val="0"/>
          <w:numId w:val="1"/>
        </w:numPr>
        <w:rPr>
          <w:sz w:val="24"/>
        </w:rPr>
      </w:pPr>
      <w:r>
        <w:rPr>
          <w:sz w:val="24"/>
        </w:rPr>
        <w:t>cost of NOx emissions ($/MWh)</w:t>
      </w:r>
    </w:p>
    <w:p>
      <w:pPr>
        <w:pStyle w:val="Normal"/>
        <w:numPr>
          <w:ilvl w:val="0"/>
          <w:numId w:val="1"/>
        </w:numPr>
        <w:rPr>
          <w:sz w:val="24"/>
        </w:rPr>
      </w:pPr>
      <w:r>
        <w:rPr>
          <w:sz w:val="24"/>
        </w:rPr>
        <w:t>other environmental compliance costs ($/MWh)</w:t>
      </w:r>
    </w:p>
    <w:p>
      <w:pPr>
        <w:pStyle w:val="Normal"/>
        <w:numPr>
          <w:ilvl w:val="0"/>
          <w:numId w:val="1"/>
        </w:numPr>
        <w:rPr>
          <w:sz w:val="24"/>
        </w:rPr>
      </w:pPr>
      <w:r>
        <w:rPr>
          <w:sz w:val="24"/>
        </w:rPr>
        <w:t>variable O&amp;M costs ($MWh)</w:t>
      </w:r>
    </w:p>
    <w:p>
      <w:pPr>
        <w:pStyle w:val="Normal"/>
        <w:rPr>
          <w:sz w:val="24"/>
        </w:rPr>
      </w:pPr>
      <w:r>
        <w:rPr>
          <w:sz w:val="24"/>
        </w:rPr>
        <w:t>3.</w:t>
        <w:tab/>
        <w:t>Provide separate documentation for any other costs for the transactions reported in number 2 above.</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 xml:space="preserve">RESPONSE TO REQUEST </w:t>
      </w:r>
    </w:p>
    <w:p>
      <w:pPr>
        <w:pStyle w:val="Normal"/>
        <w:rPr>
          <w:b/>
          <w:sz w:val="24"/>
          <w:u w:val="single"/>
        </w:rPr>
      </w:pPr>
      <w:r>
        <w:rPr>
          <w:b/>
          <w:sz w:val="24"/>
          <w:u w:val="single"/>
        </w:rPr>
      </w:r>
    </w:p>
    <w:p>
      <w:pPr>
        <w:pStyle w:val="Normal"/>
        <w:ind w:firstLine="720" w:end="0"/>
        <w:rPr>
          <w:i/>
          <w:i/>
          <w:sz w:val="24"/>
        </w:rPr>
      </w:pPr>
      <w:r>
        <w:rPr>
          <w:sz w:val="24"/>
        </w:rPr>
        <w:t>Enron operates its trading business on a portfolio basis rather than on a transaction by transaction basis.  Thus, Enron generally does not attempt to coordinate bid, awarded bid, purchases and sales on a transaction by transaction basis.  For these reasons, Enron is providing information that it has available and called for in response to this request.  Often Enron has had to make its best judgement as to cost based upon the information it has.  During the period in question, Enron made transactions on its own behalf and as a scheduling coordinator for other entities.  The amount of information available to Enron varies depending on whether the transaction was for its own account or on behalf of another entity. In many instances the components of cost for service transactions were estimates.</w:t>
      </w:r>
    </w:p>
    <w:p>
      <w:pPr>
        <w:pStyle w:val="Normal"/>
        <w:ind w:firstLine="720" w:end="0"/>
        <w:rPr/>
      </w:pPr>
      <w:r>
        <w:rPr>
          <w:sz w:val="24"/>
        </w:rPr>
        <w:t>Enron understands this request as calling for information about bids submitted that were in excess of $150 MWh that were awarded.  Enron believes that it has a copy of bids that were submitted to the California ISO for the fourth quarter of 2000.  Enron also has records of some CalPX day ahead bids.  Enron does not have retained records of bids that it submitted to the CalPX day-of market.</w:t>
      </w:r>
      <w:r>
        <w:rPr>
          <w:rStyle w:val="FootnoteCharacters"/>
          <w:rStyle w:val="FootnoteReference"/>
          <w:sz w:val="24"/>
        </w:rPr>
        <w:footnoteReference w:id="3"/>
      </w:r>
      <w:r>
        <w:rPr>
          <w:sz w:val="24"/>
        </w:rPr>
        <w:t xml:space="preserve">   Enron did not have a business reason for retaining complete CalPX bid information.  But without complete CalPX bid data, Enron is not able to provide detailed information about those transactions.  There is also the possibility, especially for real time transactions, that Enron’s data may differ slightly from ISO and CalPX data since often last minute changes were made that may not have entered on Enron’s records. </w:t>
      </w:r>
    </w:p>
    <w:p>
      <w:pPr>
        <w:pStyle w:val="Normal"/>
        <w:ind w:firstLine="720" w:end="0"/>
        <w:rPr>
          <w:sz w:val="24"/>
        </w:rPr>
      </w:pPr>
      <w:r>
        <w:rPr>
          <w:sz w:val="24"/>
        </w:rPr>
        <w:t>Based upon Enron’s retained business records, the vast majority of Enron’s bids to supply energy submitted the to ISO and the CalPX during the period in question were effectively “price taker” bids (e.g $2.00 MWh).  Enron has identified 5 hourly bids in the ISO Supplemental Day Ahead energy market that were awarded where the bid price exceeded $150.  Enron has identified a few hundred hours where Enron sold power to the ISO out of market.   Enron has located some of the data requested for out-of-market transactions and will produce it.  Enron will supplement its response with additional out-of-market information as it is identified.  Enron has not been able to identify out-of-sequence transactions called for by this request, in-so-far as Enron understands that term.  Enron is still reviewing its records to determine what bids were awarded for ancillary services were made in the ISO day ahead market where the bid price is over $150.  Enron will supplement its response to this request when those transactions have been identified and the corresponding information located.</w:t>
      </w:r>
    </w:p>
    <w:p>
      <w:pPr>
        <w:pStyle w:val="Normal"/>
        <w:rPr>
          <w:sz w:val="24"/>
        </w:rPr>
      </w:pPr>
      <w:r>
        <w:rPr>
          <w:sz w:val="24"/>
        </w:rPr>
      </w:r>
    </w:p>
    <w:p>
      <w:pPr>
        <w:pStyle w:val="Normal"/>
        <w:rPr>
          <w:sz w:val="24"/>
        </w:rPr>
      </w:pPr>
      <w:r>
        <w:rPr>
          <w:sz w:val="24"/>
        </w:rPr>
      </w:r>
    </w:p>
    <w:p>
      <w:pPr>
        <w:pStyle w:val="Normal"/>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March 21, 2001 request letter specifically refers to the months of October, November and December 2000.    However, at another point in the request it refers to the period October 2, 2000 through December 31, </w:t>
      </w:r>
      <w:r>
        <w:rPr>
          <w:i/>
        </w:rPr>
        <w:t>2001</w:t>
      </w:r>
      <w:r>
        <w:rPr/>
        <w:t xml:space="preserve"> which Enron believes was  a typographical error.  The data provided here is for the period October 2, 2000 through December 31, 2000.</w:t>
      </w:r>
    </w:p>
  </w:footnote>
  <w:footnote w:id="3">
    <w:p>
      <w:pPr>
        <w:pStyle w:val="FootnoteText"/>
        <w:rPr/>
      </w:pPr>
      <w:r>
        <w:rPr>
          <w:rStyle w:val="FootnoteCharacters"/>
        </w:rPr>
        <w:footnoteRef/>
      </w:r>
      <w:r>
        <w:rPr/>
        <w:t xml:space="preserve"> </w:t>
      </w:r>
      <w:r>
        <w:rPr/>
        <w:t xml:space="preserve">Enron requested electronic copies of all bids from the CalPX.  However, because of the CalPX bankruptcy, the CalPX has been unable to provide this information to Enron.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2001-04-24T16:01:00Z</dcterms:created>
  <dc:creator>Gary Fergus</dc:creator>
  <dc:description/>
  <dc:language>en-CA</dc:language>
  <cp:lastModifiedBy>Gary Fergus</cp:lastModifiedBy>
  <dcterms:modified xsi:type="dcterms:W3CDTF">2001-04-26T09:50:00Z</dcterms:modified>
  <cp:revision>23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ate">
    <vt:lpwstr>   </vt:lpwstr>
  </property>
  <property fmtid="{D5CDD505-2E9C-101B-9397-08002B2CF9AE}" pid="8" name="Doc Name">
    <vt:lpwstr>   </vt:lpwstr>
  </property>
  <property fmtid="{D5CDD505-2E9C-101B-9397-08002B2CF9AE}" pid="9" name="Doc No.">
    <vt:lpwstr>   </vt:lpwstr>
  </property>
  <property fmtid="{D5CDD505-2E9C-101B-9397-08002B2CF9AE}" pid="10" name="Doc Path">
    <vt:lpwstr>D:\Enron\FERC Request</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vt:lpwstr>
  </property>
  <property fmtid="{D5CDD505-2E9C-101B-9397-08002B2CF9AE}" pid="15" name="Matter No.">
    <vt:lpwstr>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