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720" w:leader="none"/>
        </w:tabs>
        <w:suppressAutoHyphens w:val="true"/>
        <w:jc w:val="center"/>
        <w:rPr>
          <w:rFonts w:ascii="Times New Roman" w:hAnsi="Times New Roman" w:cs="Times New Roman"/>
          <w:spacing w:val="-3"/>
          <w:sz w:val="24"/>
        </w:rPr>
      </w:pPr>
      <w:r>
        <w:rPr>
          <w:rFonts w:cs="Times New Roman" w:ascii="Times New Roman" w:hAnsi="Times New Roman"/>
          <w:spacing w:val="-3"/>
          <w:sz w:val="24"/>
        </w:rPr>
        <w:t>[BANK ONE, NA LETTERHEAD]</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ab/>
        <w:tab/>
        <w:tab/>
        <w:tab/>
        <w:t>February __, 2000</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Enron North America Corp.</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Enron Building _____</w:t>
        <w:tab/>
        <w:tab/>
        <w:tab/>
        <w:tab/>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1400 Smith Street</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Houston, Texas  77002</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Ladies and Gentlemen:</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 xml:space="preserve">Pursuant to our recent conversation, this is to advise you that Bank One, NA, having its principal office in Chicago, Illinois (the "Bank") would welcome the opportunity to consider requests for loans ("Loans") to be made to Enron North America Corp., a Delaware corporation (the "Borrower") within the guidelines set forth below. </w:t>
      </w:r>
    </w:p>
    <w:p>
      <w:pPr>
        <w:pStyle w:val="Normal"/>
        <w:widowControl/>
        <w:tabs>
          <w:tab w:val="clear" w:pos="720"/>
          <w:tab w:val="left" w:pos="-720" w:leader="none"/>
        </w:tabs>
        <w:suppressAutoHyphens w:val="true"/>
        <w:jc w:val="both"/>
        <w:rPr>
          <w:rFonts w:ascii="Times New Roman" w:hAnsi="Times New Roman" w:cs="Times New Roman"/>
          <w:sz w:val="24"/>
        </w:rPr>
      </w:pPr>
      <w:r>
        <w:rPr>
          <w:rFonts w:cs="Times New Roman" w:ascii="Times New Roman" w:hAnsi="Times New Roman"/>
          <w:spacing w:val="-3"/>
          <w:sz w:val="24"/>
        </w:rPr>
        <w:t xml:space="preserve"> </w:t>
      </w:r>
      <w:r>
        <w:rPr>
          <w:rFonts w:cs="Times New Roman" w:ascii="Times New Roman" w:hAnsi="Times New Roman"/>
          <w:spacing w:val="-3"/>
          <w:sz w:val="24"/>
        </w:rPr>
        <w:tab/>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tab/>
        <w:t>Any and all Loans extended to the Borrower hereunder will be evidenced and governed by the Lender's standard form of master note (enclosed herewith), and will bear interest, at the Borrower's option, at:</w:t>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1440" w:leader="none"/>
          <w:tab w:val="left" w:pos="-720" w:leader="none"/>
          <w:tab w:val="left" w:pos="0" w:leader="none"/>
          <w:tab w:val="left" w:pos="720" w:leader="none"/>
          <w:tab w:val="left" w:pos="1440" w:leader="none"/>
        </w:tabs>
        <w:suppressAutoHyphens w:val="true"/>
        <w:ind w:hanging="2160" w:start="2160" w:end="0"/>
        <w:rPr/>
      </w:pPr>
      <w:r>
        <w:rPr>
          <w:rFonts w:cs="CG Times" w:ascii="CG Times" w:hAnsi="CG Times"/>
        </w:rPr>
        <w:tab/>
        <w:tab/>
      </w:r>
      <w:r>
        <w:rPr>
          <w:rFonts w:cs="Times New Roman" w:ascii="Times New Roman" w:hAnsi="Times New Roman"/>
          <w:sz w:val="24"/>
        </w:rPr>
        <w:t>(a)</w:t>
        <w:tab/>
        <w:t xml:space="preserve">a floating rate per annum equal to, for any day, the sum of (x) </w:t>
      </w:r>
      <w:r>
        <w:rPr>
          <w:rFonts w:cs="Times New Roman" w:ascii="Times New Roman" w:hAnsi="Times New Roman"/>
          <w:spacing w:val="-2"/>
          <w:sz w:val="24"/>
        </w:rPr>
        <w:t xml:space="preserve">a rate per annum equal to the weighted average of the rates on overnight Federal funds transactions with members of the Federal Reserve System arranged by Federal funds brokers on such day, as published for such day (or, if such day is not a business day, for the immediately preceding business day) by the Federal Reserve Bank of New York, or, if such rate is not so published for any day which is a business day, the average of the quotations at approximately 10 a.m. (Chicago time) on such day on such transactions received by the Bank from three Federal funds brokers of recognized standing selected by the Bank in its sole discretion (the "Federal Funds Effective Rate") </w:t>
      </w:r>
      <w:r>
        <w:rPr>
          <w:rFonts w:cs="Times New Roman" w:ascii="Times New Roman" w:hAnsi="Times New Roman"/>
          <w:i/>
          <w:sz w:val="24"/>
        </w:rPr>
        <w:t>plus</w:t>
      </w:r>
      <w:r>
        <w:rPr>
          <w:rFonts w:cs="Times New Roman" w:ascii="Times New Roman" w:hAnsi="Times New Roman"/>
          <w:sz w:val="24"/>
        </w:rPr>
        <w:t xml:space="preserve"> (y) .30%, changing when and as the Federal Funds Effective Rate changes, with interest payable on the last day of each calendar quarter and on demand; or</w:t>
      </w:r>
    </w:p>
    <w:p>
      <w:pPr>
        <w:pStyle w:val="Normal"/>
        <w:tabs>
          <w:tab w:val="clear" w:pos="720"/>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s>
        <w:suppressAutoHyphens w:val="true"/>
        <w:jc w:val="both"/>
        <w:rPr>
          <w:rFonts w:ascii="Times New Roman" w:hAnsi="Times New Roman" w:cs="Times New Roman"/>
          <w:sz w:val="24"/>
        </w:rPr>
      </w:pPr>
      <w:r>
        <w:rPr>
          <w:rFonts w:cs="Times New Roman" w:ascii="Times New Roman" w:hAnsi="Times New Roman"/>
          <w:spacing w:val="-2"/>
          <w:sz w:val="24"/>
        </w:rPr>
        <w:tab/>
      </w:r>
    </w:p>
    <w:p>
      <w:pPr>
        <w:pStyle w:val="Normal"/>
        <w:tabs>
          <w:tab w:val="left" w:pos="-1440" w:leader="none"/>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z w:val="24"/>
        </w:rPr>
      </w:pPr>
      <w:r>
        <w:rPr>
          <w:rFonts w:cs="Times New Roman" w:ascii="Times New Roman" w:hAnsi="Times New Roman"/>
          <w:sz w:val="24"/>
        </w:rPr>
        <w:tab/>
        <w:tab/>
        <w:t>(b)</w:t>
        <w:tab/>
        <w:t>a floating rate per annum equal to the prime rate of interest announced by the Bank from time to time (the "Prime Rate," which is not necessarily the lowest rate charged to any customer), changing when and as such Prime Rate changes, with interest payable on the last day of each calendar quarter and on demand; or</w:t>
      </w:r>
    </w:p>
    <w:p>
      <w:pPr>
        <w:pStyle w:val="Normal"/>
        <w:tabs>
          <w:tab w:val="clear" w:pos="720"/>
          <w:tab w:val="left" w:pos="-1440" w:leader="none"/>
          <w:tab w:val="left" w:pos="-720" w:leader="none"/>
        </w:tabs>
        <w:suppressAutoHyphens w:val="true"/>
        <w:spacing w:lineRule="exact" w:line="238"/>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t xml:space="preserve">(c) </w:t>
        <w:tab/>
        <w:t>at such fixed rate, and for such maturity, as the Borrower and the Bank may mutually agree upon from time to time, with interest payable at maturity (and on the last day of every three-month interval, in the case of a maturity in excess of three months) and on demand thereafter.</w:t>
      </w:r>
    </w:p>
    <w:p>
      <w:pPr>
        <w:pStyle w:val="Normal"/>
        <w:widowControl/>
        <w:tabs>
          <w:tab w:val="clear" w:pos="720"/>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tab/>
        <w:t>The principal amount of each fixed rate loan shall payable at the agreed maturity.  The principal amount of each floating rate loan (whether bearing interest based upon the Federal Funds Effective Rate or the Prime Rate) shall be payable on demand.  All interest will be computed on the basis of actual days elapsed on a 360</w:t>
        <w:noBreakHyphen/>
        <w:t>day year basis and the Bank will charge the Borrower's demand deposit account maintained with the Bank for each payment of principal and interest as it becomes due.</w:t>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tab/>
        <w:t>The Borrower hereby agrees that the proceeds of Loans hereunder may be used for the purpose of providing margin to Banc One Brokerage International Corporation ("BOBIC") in connection with futures contracts which the Borrower may enter into from time to time with BOBIC.  The Borrower further agrees that BOBIC shall be fully authorized and empowered by the Borrower as its true and lawful attorney-in-fact to, from time to time, initiate borrowings hereunder for the purpose of providing any and all such margin by delivering a notice to the Bank indicating the aggregate margin required and the amount of borrowing needed.  Any such Loans initiated by BOBIC on behalf of the Borrower shall be FFER Loans or, in the event that the Federal Funds Effective Rae is unavailable for any reason, Prime Rate Loans.  In addition, the Borrower hereby agrees that the Bank shall have the right to set off against any funds standing to the Borrower's credit for the purpose of satisfying any such margin requirements of BOBIC.  Further, the Borrower agrees that it will not use the proceeds of any Loan for the purpose of repaying principal, interest or dividends on any security issued by the Bank and underwritten, distributed or placed by Banc One Capital Markets, Inc.</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This letter does not constitute a commitment on the part of the Bank to make any Loans or provide other financial services which the Borrower may request, rather it is an indication of the Bank's willingness to entertain requests for Loans on a case</w:t>
        <w:noBreakHyphen/>
        <w:t>by</w:t>
        <w:noBreakHyphen/>
        <w:t>case basis.  Loans, if any, would be made only in the sole discretion of the Bank in each instance.  Without limiting the preceding two sentences, the aggregate amount of Loans at any one time outstanding shall in no event exceed $50,000,000. Prior to requesting any Loans hereunder , the Borrower will supply the Bank with the executed master note and satisfactory corporate resolutions and incumbency certificates.</w:t>
      </w:r>
    </w:p>
    <w:p>
      <w:pPr>
        <w:pStyle w:val="Normal"/>
        <w:tabs>
          <w:tab w:val="clear" w:pos="720"/>
          <w:tab w:val="left" w:pos="-1440" w:leader="none"/>
          <w:tab w:val="left" w:pos="-720" w:leader="none"/>
        </w:tabs>
        <w:suppressAutoHyphens w:val="true"/>
        <w:spacing w:lineRule="exact" w:line="238"/>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Very truly yours,</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BANK ONE, NA</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pPr>
      <w:r>
        <w:rPr>
          <w:rFonts w:cs="Times New Roman" w:ascii="Times New Roman" w:hAnsi="Times New Roman"/>
          <w:spacing w:val="-3"/>
          <w:sz w:val="24"/>
        </w:rPr>
        <w:tab/>
        <w:tab/>
        <w:tab/>
        <w:tab/>
        <w:tab/>
        <w:tab/>
        <w:t>By:</w:t>
      </w:r>
      <w:r>
        <w:rPr>
          <w:rFonts w:cs="Times New Roman" w:ascii="Times New Roman" w:hAnsi="Times New Roman"/>
          <w:spacing w:val="-3"/>
          <w:sz w:val="24"/>
          <w:u w:val="single"/>
        </w:rPr>
        <w:tab/>
        <w:tab/>
        <w:tab/>
        <w:tab/>
        <w:tab/>
        <w:tab/>
        <w:tab/>
      </w:r>
    </w:p>
    <w:p>
      <w:pPr>
        <w:pStyle w:val="Normal"/>
        <w:widowControl/>
        <w:tabs>
          <w:tab w:val="clear" w:pos="720"/>
          <w:tab w:val="left" w:pos="-720" w:leader="none"/>
        </w:tabs>
        <w:suppressAutoHyphens w:val="true"/>
        <w:jc w:val="both"/>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Title:</w:t>
      </w:r>
      <w:r>
        <w:rPr>
          <w:rFonts w:cs="Times New Roman" w:ascii="Times New Roman" w:hAnsi="Times New Roman"/>
          <w:spacing w:val="-3"/>
          <w:sz w:val="24"/>
          <w:u w:val="single"/>
        </w:rPr>
        <w:tab/>
        <w:tab/>
        <w:tab/>
        <w:tab/>
        <w:tab/>
        <w:tab/>
        <w:tab/>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Agreed To:</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ENRON NORTH AMERICA CORP.</w:t>
      </w:r>
    </w:p>
    <w:p>
      <w:pPr>
        <w:pStyle w:val="Normal"/>
        <w:widowContro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widowControl/>
        <w:tabs>
          <w:tab w:val="clear" w:pos="720"/>
          <w:tab w:val="left" w:pos="-720" w:leader="none"/>
        </w:tabs>
        <w:suppressAutoHyphens w:val="true"/>
        <w:jc w:val="both"/>
        <w:rPr/>
      </w:pPr>
      <w:r>
        <w:rPr>
          <w:rFonts w:cs="Times New Roman" w:ascii="Times New Roman" w:hAnsi="Times New Roman"/>
          <w:spacing w:val="-3"/>
          <w:sz w:val="24"/>
        </w:rPr>
        <w:t>By:</w:t>
      </w:r>
      <w:r>
        <w:rPr>
          <w:rFonts w:cs="Times New Roman" w:ascii="Times New Roman" w:hAnsi="Times New Roman"/>
          <w:spacing w:val="-3"/>
          <w:sz w:val="24"/>
          <w:u w:val="single"/>
        </w:rPr>
        <w:tab/>
        <w:tab/>
        <w:tab/>
        <w:tab/>
        <w:tab/>
        <w:tab/>
        <w:tab/>
      </w:r>
    </w:p>
    <w:p>
      <w:pPr>
        <w:pStyle w:val="Normal"/>
        <w:widowControl/>
        <w:tabs>
          <w:tab w:val="clear" w:pos="720"/>
          <w:tab w:val="left" w:pos="-720" w:leader="none"/>
        </w:tabs>
        <w:suppressAutoHyphens w:val="true"/>
        <w:jc w:val="both"/>
        <w:rPr>
          <w:rFonts w:ascii="Times New Roman" w:hAnsi="Times New Roman" w:cs="Times New Roman"/>
          <w:spacing w:val="-3"/>
          <w:sz w:val="24"/>
          <w:u w:val="single"/>
        </w:rPr>
      </w:pPr>
      <w:r>
        <w:rPr>
          <w:rFonts w:cs="Times New Roman" w:ascii="Times New Roman" w:hAnsi="Times New Roman"/>
          <w:spacing w:val="-3"/>
          <w:sz w:val="24"/>
          <w:u w:val="single"/>
        </w:rPr>
      </w:r>
    </w:p>
    <w:p>
      <w:pPr>
        <w:pStyle w:val="Normal"/>
        <w:widowControl/>
        <w:tabs>
          <w:tab w:val="clear" w:pos="720"/>
          <w:tab w:val="left" w:pos="-720" w:leader="none"/>
        </w:tabs>
        <w:suppressAutoHyphens w:val="true"/>
        <w:jc w:val="both"/>
        <w:rPr/>
      </w:pPr>
      <w:r>
        <w:rPr>
          <w:rFonts w:cs="Times New Roman" w:ascii="Times New Roman" w:hAnsi="Times New Roman"/>
          <w:spacing w:val="-3"/>
          <w:sz w:val="24"/>
        </w:rPr>
        <w:t>Title:</w:t>
      </w:r>
      <w:r>
        <w:rPr>
          <w:rFonts w:cs="Times New Roman" w:ascii="Times New Roman" w:hAnsi="Times New Roman"/>
          <w:spacing w:val="-3"/>
          <w:sz w:val="24"/>
          <w:u w:val="single"/>
        </w:rPr>
        <w:tab/>
        <w:tab/>
        <w:tab/>
        <w:tab/>
        <w:tab/>
        <w:tab/>
        <w:tab/>
      </w:r>
      <w:r>
        <w:rPr>
          <w:rFonts w:cs="Times New Roman" w:ascii="Times New Roman" w:hAnsi="Times New Roman"/>
          <w:spacing w:val="-3"/>
          <w:sz w:val="24"/>
        </w:rPr>
        <w:tab/>
        <w:tab/>
        <w:tab/>
        <w:tab/>
        <w:tab/>
        <w:tab/>
        <w:tab/>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2000-02-22T18:17:00Z</dcterms:created>
  <dc:creator>Law Department</dc:creator>
  <dc:description/>
  <dc:language>en-CA</dc:language>
  <cp:lastModifiedBy>tst</cp:lastModifiedBy>
  <cp:lastPrinted>2000-02-25T14:40:00Z</cp:lastPrinted>
  <dcterms:modified xsi:type="dcterms:W3CDTF">2000-02-25T18:14:00Z</dcterms:modified>
  <cp:revision>12</cp:revision>
  <dc:subject/>
  <dc:title>INTERNAL GUIDANCE LETTER                .a</dc:title>
</cp:coreProperties>
</file>