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CONFIDENTIALITY AGREEMENT</w:t>
      </w:r>
    </w:p>
    <w:p>
      <w:pPr>
        <w:pStyle w:val="Normal"/>
        <w:jc w:val="center"/>
        <w:rPr>
          <w:b/>
          <w:sz w:val="28"/>
        </w:rPr>
      </w:pPr>
      <w:r>
        <w:rPr>
          <w:b/>
          <w:sz w:val="28"/>
        </w:rPr>
      </w:r>
    </w:p>
    <w:p>
      <w:pPr>
        <w:pStyle w:val="Normal"/>
        <w:jc w:val="both"/>
        <w:rPr/>
      </w:pPr>
      <w:r>
        <w:rPr/>
        <w:tab/>
        <w:tab/>
        <w:tab/>
        <w:tab/>
        <w:tab/>
        <w:tab/>
      </w:r>
    </w:p>
    <w:p>
      <w:pPr>
        <w:pStyle w:val="Normal"/>
        <w:jc w:val="both"/>
        <w:rPr/>
      </w:pPr>
      <w:r>
        <w:rPr/>
        <w:tab/>
        <w:tab/>
        <w:t xml:space="preserve">This Confidentiality Agreement (“Agreement”), entered into with effect this ____ day of December 2000 by and between </w:t>
      </w:r>
      <w:r>
        <w:rPr>
          <w:b/>
        </w:rPr>
        <w:t>UNIVERSAL COMPRESSION HOLDINGS, INC.</w:t>
      </w:r>
      <w:r>
        <w:rPr/>
        <w:t xml:space="preserve"> (“UNIVERSAL”) and </w:t>
      </w:r>
      <w:r>
        <w:rPr>
          <w:b/>
        </w:rPr>
        <w:t>ENRON CORPORATION</w:t>
      </w:r>
      <w:r>
        <w:rPr/>
        <w:t xml:space="preserve"> (“ENRON”), each acting on behalf of itself and its interested affiliates (together a “Party” and collectively the “Parties”), witnesses as follows;</w:t>
      </w:r>
    </w:p>
    <w:p>
      <w:pPr>
        <w:pStyle w:val="Normal"/>
        <w:jc w:val="both"/>
        <w:rPr/>
      </w:pPr>
      <w:r>
        <w:rPr/>
        <w:t xml:space="preserve">          </w:t>
      </w:r>
      <w:r>
        <w:rPr/>
        <w:tab/>
        <w:tab/>
      </w:r>
      <w:r>
        <w:rPr>
          <w:u w:val="single"/>
        </w:rPr>
        <w:t xml:space="preserve"> </w:t>
      </w:r>
    </w:p>
    <w:p>
      <w:pPr>
        <w:pStyle w:val="Normal"/>
        <w:jc w:val="both"/>
        <w:rPr/>
      </w:pPr>
      <w:r>
        <w:rPr>
          <w:b/>
          <w:caps/>
          <w:u w:val="single"/>
        </w:rPr>
        <w:t>Recitals</w:t>
      </w:r>
      <w:r>
        <w:rPr/>
        <w:t>:</w:t>
      </w:r>
    </w:p>
    <w:p>
      <w:pPr>
        <w:pStyle w:val="Normal"/>
        <w:jc w:val="both"/>
        <w:rPr/>
      </w:pPr>
      <w:r>
        <w:rPr/>
      </w:r>
    </w:p>
    <w:p>
      <w:pPr>
        <w:pStyle w:val="Normal"/>
        <w:ind w:hanging="540" w:start="540" w:end="0"/>
        <w:jc w:val="both"/>
        <w:rPr/>
      </w:pPr>
      <w:r>
        <w:rPr/>
        <w:t xml:space="preserve">A.  </w:t>
        <w:tab/>
        <w:t>UNIVERSAL and ENRON have had discussions regarding various services that ENRON may provide to UNIVERSAL.</w:t>
      </w:r>
    </w:p>
    <w:p>
      <w:pPr>
        <w:pStyle w:val="Normal"/>
        <w:ind w:hanging="540" w:start="540" w:end="0"/>
        <w:jc w:val="both"/>
        <w:rPr/>
      </w:pPr>
      <w:r>
        <w:rPr/>
        <w:t xml:space="preserve"> </w:t>
      </w:r>
    </w:p>
    <w:p>
      <w:pPr>
        <w:pStyle w:val="Normal"/>
        <w:numPr>
          <w:ilvl w:val="0"/>
          <w:numId w:val="2"/>
        </w:numPr>
        <w:tabs>
          <w:tab w:val="clear" w:pos="720"/>
          <w:tab w:val="left" w:pos="540" w:leader="none"/>
        </w:tabs>
        <w:ind w:hanging="540" w:start="540" w:end="0"/>
        <w:jc w:val="both"/>
        <w:rPr/>
      </w:pPr>
      <w:r>
        <w:rPr/>
        <w:t>In order to evaluate the feasibility of providing such services, as well as in order to provide the services requested, ENRON requires access to certain financial, technical, operational, marketing and legal documents, data and information from UNIVERSAL concerning the business of UNIVERSAL and its various world-wide affiliates.</w:t>
      </w:r>
    </w:p>
    <w:p>
      <w:pPr>
        <w:pStyle w:val="Normal"/>
        <w:ind w:hanging="540" w:start="540" w:end="0"/>
        <w:jc w:val="both"/>
        <w:rPr/>
      </w:pPr>
      <w:r>
        <w:rPr/>
      </w:r>
    </w:p>
    <w:p>
      <w:pPr>
        <w:pStyle w:val="Normal"/>
        <w:numPr>
          <w:ilvl w:val="0"/>
          <w:numId w:val="2"/>
        </w:numPr>
        <w:tabs>
          <w:tab w:val="clear" w:pos="720"/>
          <w:tab w:val="left" w:pos="540" w:leader="none"/>
        </w:tabs>
        <w:ind w:hanging="540" w:start="540" w:end="0"/>
        <w:jc w:val="both"/>
        <w:rPr/>
      </w:pPr>
      <w:r>
        <w:rPr/>
        <w:t>As a condition to furnishing the foregoing information to ENRON, UNIVERSAL requires ENRON to agree to treat as confidential any and all such information, whether furnished before or after the date of this Agreement by UNIVERSAL or otherwise, whether furnished orally or in writing or gathered by inspection, and regardless of whether or not specifically identified as “confidential” (collectively, the “Confidential Material”).</w:t>
      </w:r>
    </w:p>
    <w:p>
      <w:pPr>
        <w:pStyle w:val="Normal"/>
        <w:jc w:val="both"/>
        <w:rPr/>
      </w:pPr>
      <w:r>
        <w:rPr/>
      </w:r>
    </w:p>
    <w:p>
      <w:pPr>
        <w:pStyle w:val="Normal"/>
        <w:jc w:val="both"/>
        <w:rPr/>
      </w:pPr>
      <w:r>
        <w:rPr>
          <w:b/>
          <w:u w:val="single"/>
        </w:rPr>
        <w:t>AGREEMENT</w:t>
      </w:r>
      <w:r>
        <w:rPr/>
        <w:t>:</w:t>
      </w:r>
    </w:p>
    <w:p>
      <w:pPr>
        <w:pStyle w:val="Normal"/>
        <w:jc w:val="both"/>
        <w:rPr/>
      </w:pPr>
      <w:r>
        <w:rPr/>
      </w:r>
    </w:p>
    <w:p>
      <w:pPr>
        <w:pStyle w:val="BodyText"/>
        <w:tabs>
          <w:tab w:val="clear" w:pos="720"/>
          <w:tab w:val="left" w:pos="540" w:leader="none"/>
        </w:tabs>
        <w:ind w:hanging="540" w:start="540" w:end="0"/>
        <w:rPr/>
      </w:pPr>
      <w:r>
        <w:rPr/>
        <w:t xml:space="preserve">1.  </w:t>
        <w:tab/>
        <w:t>The term “Confidential Material” shall be deemed to include: (i) all information provided by UNIVERSAL in relation to the services, as well as (ii) all notes, analyses, compilations, studies, interpretations or other documents prepared by ENRON or its directors, officers, employees, agents or advisors (collectively “Representatives”) which contain, reflect or are based upon, in whole or in part, such information furnished to ENRON or its Representatives. The term “Confidential Material” does not include information which (i) is legally possessed or known to ENRON on a non-confidential basis prior to its disclosure to ENRON by UNIVERSAL, or (ii) is, or becomes, generally is or becomes available in the public domain through any means except disclosure by ENRON, or (iii) is independently received by ENRON in good faith from a third party entitled to disclose same.</w:t>
      </w:r>
    </w:p>
    <w:p>
      <w:pPr>
        <w:pStyle w:val="Normal"/>
        <w:tabs>
          <w:tab w:val="clear" w:pos="720"/>
          <w:tab w:val="left" w:pos="540" w:leader="none"/>
        </w:tabs>
        <w:ind w:hanging="540" w:start="540" w:end="0"/>
        <w:jc w:val="both"/>
        <w:rPr/>
      </w:pPr>
      <w:r>
        <w:rPr/>
      </w:r>
    </w:p>
    <w:p>
      <w:pPr>
        <w:pStyle w:val="BodyText"/>
        <w:tabs>
          <w:tab w:val="clear" w:pos="720"/>
          <w:tab w:val="left" w:pos="540" w:leader="none"/>
        </w:tabs>
        <w:ind w:hanging="540" w:start="540" w:end="0"/>
        <w:rPr/>
      </w:pPr>
      <w:r>
        <w:rPr/>
        <w:t xml:space="preserve">2.  </w:t>
        <w:tab/>
        <w:t>ENRON hereby agrees that (a) it and its Representatives shall use the Confidential Material solely for the purpose of evaluating and performing the services requested by UNIVERSAL and for no other purpose whatsoever, including, without limitation, any other use that is to the competitive advantage of ENRON its subsidiaries or affiliates, or to the competitive disadvantage of UNIVERSAL; (b) the Confidential Material will be kept strictly confidential and ENRON and its Representatives will not disclose any of the Confidential Material in any manner whatsoever except as expressly authorized herein; and (c) the Confidential Material may be disclosed by ENRON only to those of its Representatives who need to know such information and strictly for purposes of evaluating the feasibility of providing the services or actually providing the services, and who agree to be bound by the terms hereof to the same extent as if they were parties hereto.</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3.   </w:t>
        <w:tab/>
        <w:t>ENRON shall be responsible for any breach of the provisions of this Agreement by it and any of its Representatives and further agrees, at its sole expense, to take all reasonable measures to restrain its Representatives from prohibited or unauthorized disclosure or use of the Confidential Material.</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4.  </w:t>
        <w:tab/>
        <w:t>All communication regarding the services to be provided and requests for Confidential Material will be submitted or directed by ENRON and/or its Representatives only to such representatives of UNIVERSAL as are designated by UNIVERSAL in writing to ENRON.</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5.  </w:t>
        <w:tab/>
        <w:t>ENRON further agrees that, without the prior written consent of UNIVERSAL, neither it nor any of its Representatives will disclose to any other person the fact that the Confidential Material has been made available to ENRON, that the services are being performed by ENRON on Universal’s behalf, or any of the terms, conditions or other matters with respect thereto or variant thereof.</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6.  </w:t>
        <w:tab/>
        <w:t>In the event, ENRON or any of its Representatives are requested or required (by oral questions, interrogatories, or requests for information or documents in legal proceedings, subpoena, civil investigative demand or other similar process) to disclose any of the Confidential Material, ENRON shall provide UNIVERSAL with prompt notice of such requests so that UNIVERSAL has adequate time to seek an appropriate protective order and/or waive ENRON’s compliance with the affected provisions of this Agreement. If, in the absence of a protective order or the receipt of a waiver by UNIVERSAL, ENRON and/or its Representatives are nonetheless, in the opinion of ENRON’s legal advisers, compelled to disclose Confidential Material to any tribunal or on penalty of contempt or other censure or penalty, ENRON and such affected Representatives may, without liability hereunder, disclose to such tribunal only that portion of the Confidential Material which is legally required to be disclosed, provided that ENRON and such Representative(s) cooperate with UNIVERSAL to obtain an appropriate protective order or other reliable assurance that confidential treatment will be accorded the Confidential Material by such tribunal.</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7.  </w:t>
        <w:tab/>
        <w:t>Nothing contained in this Agreement shall be construed as granting to or conferring upon ENRON or any of its Representatives any rights by license or otherwise, expressly or otherwise, in any invention, secret, software, discovery or improvement part of the Confidential Material or that could result, even partly, from ENRON’s review or use of the Confidential Material or any services provided to UNIVERSAL.</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8.  </w:t>
        <w:tab/>
        <w:t>In the event ENRON determines it does not wish to provide or continue providing the services requested by UNIVERSAL, ENRON shall promptly deliver to UNIVERSAL all documents and information either furnished by UNIVERSAL to ENRON or its Representatives, or developed by ENRON from documents or information furnished by UNIVERSAL, without retaining any copies thereof.   Such return, however, shall not abrogate or reduce ENRON’s continuing obligations under this Agreement, and shall be promptly certified in writing to UNIVERSAL by an authorized officer supervising such destruction.</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9.  </w:t>
        <w:tab/>
        <w:t>ENRON acknowledges and agrees that money damages alone would be an inadequate remedy for the breach by it or its Representatives of the terms of this Agreement and that UNIVERSAL shall be entitled, in addition to all other remedies available to it, to specific performance and injunctive relief as remedies for any breach.</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10.  </w:t>
        <w:tab/>
        <w:t>ENRON acknowledges and agrees that it has had the opportunity to review UNIVERSAL’s documents and to investigate the business of UNIVERSAL for purposes of deciding whether to provide the services requested by Universal.  ENRON further acknowledges and agrees that UNIVERSAL does not make any representation or warranty as to the accuracy or completeness of the Confidential Material and that UNIVERSAL shall have no liability to ENRON for the completeness or accuracy of the Confidential Material or resulting from any action taken or withheld by ENRON in reliance on the Confidential Material or any part thereof.</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12.  </w:t>
        <w:tab/>
        <w:t>No failure or delay by either Party in exercising any right, power or privilege hereunder shall operate as a waiver, nor shall any single or partial exercise thereof preclude any other or further exercise or the exercise of any right, power or privilege hereunder.</w:t>
      </w:r>
    </w:p>
    <w:p>
      <w:pPr>
        <w:pStyle w:val="Normal"/>
        <w:tabs>
          <w:tab w:val="clear" w:pos="720"/>
          <w:tab w:val="left" w:pos="540" w:leader="none"/>
        </w:tabs>
        <w:ind w:hanging="540" w:start="540" w:end="0"/>
        <w:jc w:val="both"/>
        <w:rPr/>
      </w:pPr>
      <w:r>
        <w:rPr/>
      </w:r>
    </w:p>
    <w:p>
      <w:pPr>
        <w:pStyle w:val="Normal"/>
        <w:tabs>
          <w:tab w:val="clear" w:pos="720"/>
          <w:tab w:val="left" w:pos="540" w:leader="none"/>
        </w:tabs>
        <w:ind w:hanging="540" w:start="540" w:end="0"/>
        <w:jc w:val="both"/>
        <w:rPr/>
      </w:pPr>
      <w:r>
        <w:rPr/>
        <w:t xml:space="preserve">13.  </w:t>
        <w:tab/>
        <w:t>Except as otherwise provided herein specifically or by necessary implication, the terms of this Agreement shall continue for a period of two (2) years from the date on which ENRON ceases providing services to UNIVERSAL, and the provisions of Sections 1, 2, 3, 6, and 10 shall thereafter remain in effect for so long as UNIVERSAL’s contracts in the Business require such confidentiality to be maintained.</w:t>
      </w:r>
    </w:p>
    <w:p>
      <w:pPr>
        <w:pStyle w:val="Normal"/>
        <w:tabs>
          <w:tab w:val="clear" w:pos="720"/>
          <w:tab w:val="left" w:pos="540" w:leader="none"/>
        </w:tabs>
        <w:ind w:hanging="540" w:start="540" w:end="0"/>
        <w:jc w:val="both"/>
        <w:rPr/>
      </w:pPr>
      <w:r>
        <w:rPr/>
      </w:r>
    </w:p>
    <w:p>
      <w:pPr>
        <w:pStyle w:val="Normal"/>
        <w:numPr>
          <w:ilvl w:val="0"/>
          <w:numId w:val="3"/>
        </w:numPr>
        <w:tabs>
          <w:tab w:val="clear" w:pos="720"/>
          <w:tab w:val="left" w:pos="540" w:leader="none"/>
        </w:tabs>
        <w:ind w:hanging="540" w:start="540" w:end="0"/>
        <w:jc w:val="both"/>
        <w:rPr/>
      </w:pPr>
      <w:r>
        <w:rPr/>
        <w:t xml:space="preserve">The terms of this Agreement and any disputes arising with respect thereto shall be governed by and construed in accordance with the laws of the State of Texas without regard to its conflicts of law principles. </w:t>
      </w:r>
    </w:p>
    <w:p>
      <w:pPr>
        <w:pStyle w:val="Normal"/>
        <w:tabs>
          <w:tab w:val="left" w:pos="720" w:leader="none"/>
        </w:tabs>
        <w:jc w:val="both"/>
        <w:rPr/>
      </w:pPr>
      <w:r>
        <w:rPr/>
      </w:r>
    </w:p>
    <w:p>
      <w:pPr>
        <w:pStyle w:val="Normal"/>
        <w:jc w:val="both"/>
        <w:rPr/>
      </w:pPr>
      <w:r>
        <w:rPr/>
        <w:t>The Parties have caused this Agreement to be signed by their respective, duly authorized representatives with effect as of the date provided in the preamble.</w:t>
      </w:r>
    </w:p>
    <w:p>
      <w:pPr>
        <w:pStyle w:val="Normal"/>
        <w:tabs>
          <w:tab w:val="clear" w:pos="720"/>
          <w:tab w:val="left" w:pos="4860" w:leader="none"/>
        </w:tabs>
        <w:jc w:val="both"/>
        <w:rPr/>
      </w:pPr>
      <w:r>
        <w:rPr/>
      </w:r>
    </w:p>
    <w:p>
      <w:pPr>
        <w:pStyle w:val="Heading1"/>
        <w:tabs>
          <w:tab w:val="clear" w:pos="5220"/>
          <w:tab w:val="left" w:pos="4500" w:leader="none"/>
          <w:tab w:val="left" w:pos="4860" w:leader="none"/>
        </w:tabs>
        <w:rPr/>
      </w:pPr>
      <w:r>
        <w:rPr/>
        <w:t>UNIVERSAL COMPRESSION</w:t>
        <w:tab/>
        <w:tab/>
        <w:t>ENRON CORPORATION</w:t>
      </w:r>
    </w:p>
    <w:p>
      <w:pPr>
        <w:pStyle w:val="Normal"/>
        <w:tabs>
          <w:tab w:val="clear" w:pos="720"/>
          <w:tab w:val="left" w:pos="4860" w:leader="none"/>
          <w:tab w:val="left" w:pos="5220" w:leader="none"/>
        </w:tabs>
        <w:ind w:end="-324"/>
        <w:rPr>
          <w:b/>
        </w:rPr>
      </w:pPr>
      <w:r>
        <w:rPr>
          <w:b/>
        </w:rPr>
        <w:t>HOLDINGS, INC.</w:t>
        <w:tab/>
      </w:r>
    </w:p>
    <w:p>
      <w:pPr>
        <w:pStyle w:val="Normal"/>
        <w:tabs>
          <w:tab w:val="clear" w:pos="720"/>
          <w:tab w:val="left" w:pos="4860" w:leader="none"/>
        </w:tabs>
        <w:ind w:end="-324"/>
        <w:rPr>
          <w:b/>
        </w:rPr>
      </w:pPr>
      <w:r>
        <w:rPr>
          <w:b/>
        </w:rPr>
      </w:r>
    </w:p>
    <w:p>
      <w:pPr>
        <w:pStyle w:val="Normal"/>
        <w:tabs>
          <w:tab w:val="clear" w:pos="720"/>
          <w:tab w:val="left" w:pos="4860" w:leader="none"/>
        </w:tabs>
        <w:ind w:end="-324"/>
        <w:rPr>
          <w:b/>
        </w:rPr>
      </w:pPr>
      <w:r>
        <w:rPr>
          <w:b/>
        </w:rPr>
      </w:r>
    </w:p>
    <w:p>
      <w:pPr>
        <w:pStyle w:val="Normal"/>
        <w:tabs>
          <w:tab w:val="clear" w:pos="720"/>
          <w:tab w:val="left" w:pos="4860" w:leader="none"/>
        </w:tabs>
        <w:spacing w:before="0" w:after="120"/>
        <w:ind w:end="-324"/>
        <w:rPr/>
      </w:pPr>
      <w:r>
        <w:rPr/>
        <w:t xml:space="preserve">By ________________________________        </w:t>
        <w:tab/>
        <w:t>By ________________________________</w:t>
      </w:r>
    </w:p>
    <w:p>
      <w:pPr>
        <w:pStyle w:val="Normal"/>
        <w:tabs>
          <w:tab w:val="clear" w:pos="720"/>
          <w:tab w:val="left" w:pos="900" w:leader="none"/>
          <w:tab w:val="left" w:pos="4860" w:leader="none"/>
        </w:tabs>
        <w:spacing w:before="0" w:after="120"/>
        <w:ind w:end="-324"/>
        <w:rPr/>
      </w:pPr>
      <w:r>
        <w:rPr/>
        <w:t xml:space="preserve">Name: </w:t>
        <w:tab/>
        <w:t>Stephen A. Snider</w:t>
        <w:tab/>
        <w:t>Name: _____________________________</w:t>
      </w:r>
    </w:p>
    <w:p>
      <w:pPr>
        <w:pStyle w:val="Normal"/>
        <w:tabs>
          <w:tab w:val="clear" w:pos="720"/>
          <w:tab w:val="left" w:pos="900" w:leader="none"/>
          <w:tab w:val="left" w:pos="4860" w:leader="none"/>
        </w:tabs>
        <w:spacing w:before="0" w:after="120"/>
        <w:ind w:end="-324"/>
        <w:rPr/>
      </w:pPr>
      <w:r>
        <w:rPr/>
        <w:t xml:space="preserve">Title:   </w:t>
        <w:tab/>
        <w:t>President and Chief Executive Officer</w:t>
        <w:tab/>
        <w:t>Title:   _____________________________</w:t>
      </w:r>
    </w:p>
    <w:p>
      <w:pPr>
        <w:pStyle w:val="Normal"/>
        <w:tabs>
          <w:tab w:val="clear" w:pos="720"/>
          <w:tab w:val="left" w:pos="900" w:leader="none"/>
          <w:tab w:val="left" w:pos="4860" w:leader="none"/>
        </w:tabs>
        <w:spacing w:before="0" w:after="120"/>
        <w:ind w:end="-324"/>
        <w:rPr/>
      </w:pPr>
      <w:r>
        <w:rPr/>
        <w:t>Date:   _____________________________</w:t>
        <w:tab/>
        <w:t>Date:   _____________________________</w:t>
      </w:r>
    </w:p>
    <w:p>
      <w:pPr>
        <w:pStyle w:val="Normal"/>
        <w:tabs>
          <w:tab w:val="clear" w:pos="720"/>
          <w:tab w:val="left" w:pos="4680" w:leader="none"/>
        </w:tabs>
        <w:rPr>
          <w:sz w:val="14"/>
        </w:rPr>
      </w:pPr>
      <w:r>
        <w:rPr>
          <w:sz w:val="14"/>
        </w:rPr>
      </w:r>
    </w:p>
    <w:p>
      <w:pPr>
        <w:pStyle w:val="Normal"/>
        <w:tabs>
          <w:tab w:val="clear" w:pos="720"/>
          <w:tab w:val="left" w:pos="4680" w:leader="none"/>
        </w:tabs>
        <w:rPr>
          <w:sz w:val="14"/>
        </w:rPr>
      </w:pPr>
      <w:r>
        <w:rPr>
          <w:sz w:val="14"/>
        </w:rPr>
      </w:r>
    </w:p>
    <w:p>
      <w:pPr>
        <w:pStyle w:val="Normal"/>
        <w:tabs>
          <w:tab w:val="clear" w:pos="720"/>
          <w:tab w:val="left" w:pos="4680" w:leader="none"/>
        </w:tabs>
        <w:rPr>
          <w:sz w:val="14"/>
        </w:rPr>
      </w:pPr>
      <w:r>
        <w:rPr>
          <w:sz w:val="14"/>
        </w:rPr>
      </w:r>
    </w:p>
    <w:p>
      <w:pPr>
        <w:pStyle w:val="Normal"/>
        <w:tabs>
          <w:tab w:val="clear" w:pos="720"/>
          <w:tab w:val="left" w:pos="4680" w:leader="none"/>
        </w:tabs>
        <w:rPr>
          <w:sz w:val="14"/>
        </w:rPr>
      </w:pPr>
      <w:r>
        <w:rPr>
          <w:sz w:val="14"/>
        </w:rPr>
      </w:r>
    </w:p>
    <w:p>
      <w:pPr>
        <w:pStyle w:val="Normal"/>
        <w:tabs>
          <w:tab w:val="clear" w:pos="720"/>
          <w:tab w:val="left" w:pos="4680" w:leader="none"/>
        </w:tabs>
        <w:rPr>
          <w:sz w:val="14"/>
        </w:rPr>
      </w:pPr>
      <w:r>
        <w:rPr>
          <w:sz w:val="14"/>
        </w:rPr>
      </w:r>
    </w:p>
    <w:p>
      <w:pPr>
        <w:pStyle w:val="Normal"/>
        <w:tabs>
          <w:tab w:val="clear" w:pos="720"/>
          <w:tab w:val="left" w:pos="4680" w:leader="none"/>
        </w:tabs>
        <w:jc w:val="end"/>
        <w:rPr>
          <w:sz w:val="12"/>
        </w:rPr>
      </w:pPr>
      <w:r>
        <w:rPr>
          <w:sz w:val="12"/>
        </w:rPr>
        <w:t>s\agreements\confidential-cos\enron\enroncorp-confidagree-121800.doc\mlc\jg</w:t>
      </w:r>
    </w:p>
    <w:sectPr>
      <w:footerReference w:type="default" r:id="rId2"/>
      <w:type w:val="nextPage"/>
      <w:pgSz w:w="12240" w:h="15840"/>
      <w:pgMar w:left="1584" w:right="1584" w:gutter="0" w:header="0" w:top="1440" w:footer="562"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 xml:space="preserve">Page </w:t>
    </w:r>
    <w:r>
      <w:rPr>
        <w:rStyle w:val="PageNumber"/>
        <w:sz w:val="14"/>
      </w:rPr>
      <w:fldChar w:fldCharType="begin"/>
    </w:r>
    <w:r>
      <w:rPr>
        <w:rStyle w:val="PageNumber"/>
        <w:sz w:val="14"/>
      </w:rPr>
      <w:instrText xml:space="preserve"> PAGE </w:instrText>
    </w:r>
    <w:r>
      <w:rPr>
        <w:rStyle w:val="PageNumber"/>
        <w:sz w:val="14"/>
      </w:rPr>
      <w:fldChar w:fldCharType="separate"/>
    </w:r>
    <w:r>
      <w:rPr>
        <w:rStyle w:val="PageNumber"/>
        <w:sz w:val="14"/>
      </w:rPr>
      <w:t>3</w:t>
    </w:r>
    <w:r>
      <w:rPr>
        <w:rStyle w:val="PageNumber"/>
        <w:sz w:val="14"/>
      </w:rPr>
      <w:fldChar w:fldCharType="end"/>
    </w:r>
    <w:r>
      <w:rPr>
        <w:rStyle w:val="PageNumber"/>
        <w:sz w:val="14"/>
      </w:rPr>
      <w:t xml:space="preserve"> of </w:t>
    </w:r>
    <w:r>
      <w:rPr>
        <w:rStyle w:val="PageNumber"/>
        <w:sz w:val="14"/>
      </w:rPr>
      <w:fldChar w:fldCharType="begin"/>
    </w:r>
    <w:r>
      <w:rPr>
        <w:rStyle w:val="PageNumber"/>
        <w:sz w:val="14"/>
      </w:rPr>
      <w:instrText xml:space="preserve"> NUMPAGES \* ARABIC </w:instrText>
    </w:r>
    <w:r>
      <w:rPr>
        <w:rStyle w:val="PageNumber"/>
        <w:sz w:val="14"/>
      </w:rPr>
      <w:fldChar w:fldCharType="separate"/>
    </w:r>
    <w:r>
      <w:rPr>
        <w:rStyle w:val="PageNumber"/>
        <w:sz w:val="14"/>
      </w:rPr>
      <w:t>3</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360"/>
        </w:tabs>
        <w:ind w:start="360" w:hanging="360"/>
      </w:pPr>
      <w:rPr/>
    </w:lvl>
  </w:abstractNum>
  <w:abstractNum w:abstractNumId="3">
    <w:lvl w:ilvl="0">
      <w:start w:val="14"/>
      <w:numFmt w:val="decimal"/>
      <w:lvlText w:val="%1."/>
      <w:lvlJc w:val="start"/>
      <w:pPr>
        <w:tabs>
          <w:tab w:val="num" w:pos="465"/>
        </w:tabs>
        <w:ind w:start="465" w:hanging="46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220" w:leader="none"/>
      </w:tabs>
      <w:ind w:hanging="0" w:start="0" w:end="-324"/>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2000-12-18T12:27:00Z</dcterms:created>
  <dc:creator>Sylvia Martinez</dc:creator>
  <dc:description/>
  <dc:language>en-CA</dc:language>
  <cp:lastModifiedBy>Janice Gilliland</cp:lastModifiedBy>
  <cp:lastPrinted>2000-12-20T11:00:00Z</cp:lastPrinted>
  <dcterms:modified xsi:type="dcterms:W3CDTF">2000-12-20T16:12:00Z</dcterms:modified>
  <cp:revision>9</cp:revision>
  <dc:subject/>
  <dc:title>CONFIDENTIALITY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HID">
    <vt:lpwstr/>
  </property>
</Properties>
</file>