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CAPACITY RELEASE TRANSFER AGREEMENT</w:t>
      </w:r>
    </w:p>
    <w:p>
      <w:pPr>
        <w:pStyle w:val="Normal"/>
        <w:rPr>
          <w:b/>
          <w:sz w:val="24"/>
        </w:rPr>
      </w:pPr>
      <w:r>
        <w:rPr>
          <w:b/>
          <w:sz w:val="24"/>
        </w:rPr>
      </w:r>
    </w:p>
    <w:p>
      <w:pPr>
        <w:pStyle w:val="BodyTextFirstIndent"/>
        <w:rPr>
          <w:sz w:val="24"/>
        </w:rPr>
      </w:pPr>
      <w:r>
        <w:rPr>
          <w:sz w:val="24"/>
        </w:rPr>
        <w:t xml:space="preserve">CAPACITY RELEASE TRANSFER AGREEMENT, dated as of July 1, 2001 (this “Agreement”), by and between Enron North America Corp., a Delaware corporation (“Capacity Holder”) </w:t>
      </w:r>
      <w:r>
        <w:rPr/>
        <w:t>and Dynegy Marketing and Trade, a Colorado general partnership ("DMT").</w:t>
      </w:r>
    </w:p>
    <w:p>
      <w:pPr>
        <w:pStyle w:val="Heading"/>
        <w:spacing w:before="240" w:after="240"/>
        <w:rPr>
          <w:sz w:val="24"/>
        </w:rPr>
      </w:pPr>
      <w:r>
        <w:rPr>
          <w:sz w:val="24"/>
        </w:rPr>
        <w:t>W I T N E S S E T H:</w:t>
      </w:r>
    </w:p>
    <w:p>
      <w:pPr>
        <w:pStyle w:val="BodyTextFirstIndent"/>
        <w:rPr/>
      </w:pPr>
      <w:r>
        <w:rPr>
          <w:sz w:val="24"/>
        </w:rPr>
        <w:t xml:space="preserve">WHEREAS, Capacity Holder has contractual rights to gather and transport natural gas on the system of ANR Pipeline Company, a Delaware corporation (“ANR”), under those certain agreements listed on </w:t>
      </w:r>
      <w:r>
        <w:rPr>
          <w:sz w:val="24"/>
          <w:u w:val="single"/>
        </w:rPr>
        <w:t>Annex A</w:t>
      </w:r>
      <w:r>
        <w:rPr>
          <w:sz w:val="24"/>
        </w:rPr>
        <w:t xml:space="preserve"> hereto (the “ANR Gas Transportation Agreements”);</w:t>
      </w:r>
    </w:p>
    <w:p>
      <w:pPr>
        <w:pStyle w:val="BodyTextFirstIndent"/>
        <w:rPr/>
      </w:pPr>
      <w:r>
        <w:rPr>
          <w:sz w:val="24"/>
        </w:rPr>
        <w:t xml:space="preserve">WHEREAS, Capacity Holder has contractual rights to transport natural gas on the system of Great Lakes Gas Transmission Limited Partnership, a Delaware limited partnership (“Great Lakes”), under that certain agreement listed on </w:t>
      </w:r>
      <w:r>
        <w:rPr>
          <w:sz w:val="24"/>
          <w:u w:val="single"/>
        </w:rPr>
        <w:t>Annex B</w:t>
      </w:r>
      <w:r>
        <w:rPr>
          <w:sz w:val="24"/>
        </w:rPr>
        <w:t xml:space="preserve"> hereto (the “Great Lakes Gas Transportation Agreement”); and</w:t>
      </w:r>
    </w:p>
    <w:p>
      <w:pPr>
        <w:pStyle w:val="BodyTextFirstIndent"/>
        <w:rPr/>
      </w:pPr>
      <w:r>
        <w:rPr>
          <w:sz w:val="24"/>
        </w:rPr>
        <w:t xml:space="preserve">WHEREAS, Capacity Holder has contractual rights to transport natural gas on the system of Panhandle Eastern Pipe Line Company, a Delaware corporation (“Panhandle” and, together with ANR and Great Lakes, the “Transporters”, and each such party, a “Transporter”), under those certain agreements listed on </w:t>
      </w:r>
      <w:r>
        <w:rPr>
          <w:sz w:val="24"/>
          <w:u w:val="single"/>
        </w:rPr>
        <w:t>Annex C</w:t>
      </w:r>
      <w:r>
        <w:rPr>
          <w:sz w:val="24"/>
        </w:rPr>
        <w:t xml:space="preserve"> hereto (the “Panhandle Gas Transportation Agreements” and, together with the ANR Gas Transportation Agreements and the Great Lakes Gas Transportation Agreement, the “Gas Transportation Agreements”); </w:t>
      </w:r>
    </w:p>
    <w:p>
      <w:pPr>
        <w:pStyle w:val="BodyTextFirstIndent"/>
        <w:rPr>
          <w:sz w:val="24"/>
        </w:rPr>
      </w:pPr>
      <w:r>
        <w:rPr>
          <w:sz w:val="24"/>
        </w:rPr>
        <w:t>WHEREAS, Capacity Holder desires (i) to permanently release, and DMT desires to acquire, all of the gas transportation capacity and associated service rights available to Capacity Holder under the Gas Transportation Agreements (the “Capacity”), and (ii) to be permanently released from any and all obligations, under the Gas Transportation Agreements; and</w:t>
      </w:r>
    </w:p>
    <w:p>
      <w:pPr>
        <w:pStyle w:val="BodyTextFirstIndent"/>
        <w:rPr>
          <w:sz w:val="24"/>
        </w:rPr>
      </w:pPr>
      <w:r>
        <w:rPr>
          <w:sz w:val="24"/>
        </w:rPr>
        <w:t xml:space="preserve">WHEREAS, until DMT acquires the permanent release of the Capacity and until Capacity Holder is permanently released from any and all obligations under the Gas Transportation Agreements, Capacity Holder desires to provide DMT, from time to time at DMT’s request, with a temporary release of the Capacity.  </w:t>
      </w:r>
    </w:p>
    <w:p>
      <w:pPr>
        <w:pStyle w:val="BodyTextFirstIndent"/>
        <w:rPr>
          <w:sz w:val="24"/>
        </w:rPr>
      </w:pPr>
      <w:r>
        <w:rPr>
          <w:sz w:val="24"/>
        </w:rPr>
        <w:t>NOW, THEREFORE, in consideration of the foregoing premises and for other good and valuable consideration, the receipt and sufficiency of which are hereby acknowledged, Capacity Holder and DMT, intending to be legally bound, hereby agree as follows:</w:t>
      </w:r>
    </w:p>
    <w:p>
      <w:pPr>
        <w:pStyle w:val="Heading1"/>
        <w:tabs>
          <w:tab w:val="clear" w:pos="720"/>
          <w:tab w:val="left" w:pos="1080" w:leader="none"/>
        </w:tabs>
        <w:ind w:hanging="0" w:start="0"/>
        <w:rPr/>
      </w:pPr>
      <w:r>
        <w:rPr/>
        <w:tab/>
        <w:t xml:space="preserve">Capacity Holder hereby agrees with DMT to “permanently release” (within the meaning of 18 CFR 284.8 (2000)) all of the Capacity in accordance with and subject to the regulations of the Federal Energy Regulatory Commission (the “FERC”) and the procedures of the applicable FERC Gas Tariff (“Tariff”) of each Transporter, at the rate or rates set forth in the applicable Gas Transportation Agreement (the “Contract Rate”).  Until such time as the Capacity under each Gas Transportation Agreement is permanently released to DMT and until Capacity Holder is permanently released from any and all obligations under the Gas Transportation Agreements, Capacity Holder shall, from time to time at the request of DMT and at DMT's sole expense, temporarily release that portion of the Capacity to which such request relates in accordance with the regulations of the FERC and the Tariff of such Transporter.  Capacity Holder and DMT acknowledge and agree that Capacity Holder shall not maintain or reserve any right, title or interest in, to or under all or any part of such Capacity following the permanent release of Capacity contemplated herein. </w:t>
      </w:r>
    </w:p>
    <w:p>
      <w:pPr>
        <w:pStyle w:val="Heading1"/>
        <w:tabs>
          <w:tab w:val="clear" w:pos="720"/>
          <w:tab w:val="left" w:pos="1080" w:leader="none"/>
        </w:tabs>
        <w:ind w:hanging="0" w:start="0"/>
        <w:rPr/>
      </w:pPr>
      <w:r>
        <w:rPr/>
        <w:tab/>
        <w:t xml:space="preserve">Capacity Holder and DMT hereby agree that DMT will be designated as the prearranged replacement shipper for each of the capacity release transactions pursuant to Section 1 hereof.  To the extent necessary under the procedures of each Transporter’s Tariff, DMT agrees to reaffirm its willingness to acquire all of the Capacity released by Capacity Holder pursuant to Section 1 hereof and to pay the Contract Rate for such Capacity.  From and after July 1, 2001 (the “Effective Date”), DMT agrees to pay or perform all of Capacity Holder’s liabilities, responsibilities and obligations under the Gas Transportation Agreements.  DMT shall, upon the receipt of reasonable documentation substantiating any such claim, promptly reimburse Capacity Holder for any payment made by Capacity Holder to a Transporter pursuant to any of the Gas Transportation Agreements attributable solely to periods on or after the Effective Date.  DMT shall be solely liable for all liabilities, responsibilities and obligations arising under the Gas Transportation Agreements for periods on or after the Effective Date and DMT shall indemnify and hold Capacity Holder harmless from and against any and all claims, losses, liabilities, lawsuits and judgments arising under the Gas Transportation Agreements for periods on or after the Effective Date.  Capacity Holder shall be solely liable for all liabilities, responsibilities and obligations arising under the Gas Transportation Agreements for periods prior to the Effective Date, and Capacity Holder shall indemnify and hold DMT harmless from and against any and all claims, losses, liabilities, lawsuits and judgments arising under the Gas Transportation Agreements for periods prior to the Effective Date. </w:t>
      </w:r>
    </w:p>
    <w:p>
      <w:pPr>
        <w:pStyle w:val="Heading1"/>
        <w:ind w:hanging="0" w:start="0"/>
        <w:rPr/>
      </w:pPr>
      <w:r>
        <w:rPr/>
        <w:tab/>
        <w:t xml:space="preserve">Capacity Holder hereby agrees with DMT to execute and deliver to the Transporters and/or DMT, as applicable, release notices and such further documents and instruments, and to take such further actions, as may be necessary or reasonably requested by the Transporters and/or DMT to effect such permanent release of the Capacity to DMT, and to permanently release Capacity Holder from any and all obligations under Gas Transportation Agreements, as contemplated herein arising on or after the Effective Date.  Capacity Holder and DMT acknowledge and agree that DMT shall have primary responsibility for ensuring compliance with the Transporter’s tariffs and for obtaining all third party consents or consents required by any applicable tariff of the Transporters, and approvals of any governmental agency or any other person required, in connection with the permanent release and assignment of the Capacity from the Transporters to DMT, and the permanent release of Capacity Holder from all obligations arising on or after the Effective Date under the Gas Transportation Agreements; </w:t>
      </w:r>
      <w:r>
        <w:rPr>
          <w:u w:val="single"/>
        </w:rPr>
        <w:t>provided</w:t>
      </w:r>
      <w:r>
        <w:rPr/>
        <w:t>, that Capacity Holder shall cooperate with DMT’s efforts hereunder upon DMT’s reasonable request.</w:t>
      </w:r>
    </w:p>
    <w:p>
      <w:pPr>
        <w:pStyle w:val="Heading1"/>
        <w:ind w:hanging="0" w:start="0"/>
        <w:rPr/>
      </w:pPr>
      <w:r>
        <w:rPr/>
        <w:tab/>
        <w:t xml:space="preserve">If DMT receives any refunds or credits under the Gas Transportation Agreements relating to periods prior to the Effective Date, or if Capacity Holder receives any refunds or credits under the Gas Transportation Agreements relating to periods on or after the Effective Date, DMT or Capacity Holder, as the case may be, shall promptly remit such refund or credit to the other party in the form received. </w:t>
      </w:r>
    </w:p>
    <w:p>
      <w:pPr>
        <w:pStyle w:val="Heading1"/>
        <w:ind w:hanging="0" w:start="0"/>
        <w:rPr/>
      </w:pPr>
      <w:r>
        <w:rPr/>
        <w:tab/>
        <w:t>(a)</w:t>
        <w:tab/>
        <w:t>Capacity Holder shall, except as set forth in this Section 5, indemnify, reimburse, defend and hold harmless DMT, its affiliates and their respective directors, officers, stockholders, partners, employees, agents, representatives, successors, permitted transferees and permitted assigns, from and against any and all demands, actions or causes of action, assessments, losses, liabilities, damages, costs and expenses, judgments, claims and tax claims (including, without limitation, interest, fines, penalties, reasonable legal, consultants' and experts' fees and expenses) suffered or incurred by DMT by reason of or resulting from the inaccuracy or breach of any representation, warranty or covenant of Capacity Holder contained in this Agreement.  DMT shall, except as set forth in this Section 5, indemnify, reimburse, defend, and hold harmless Capacity Holder, its affiliates and their respective directors, officers, stockholders, partners, employees, agents, representatives, successors, permitted transferees and permitted assigns, from and against all demands, actions or causes of action, assessments, losses, liabilities, damages, costs and expenses, judgments, claims and tax claims (including, without limitation, interest, fines, penalties, reasonable legal, consultants' and experts' fees and expenses) suffered or incurred by Capacity Holder by reason of or resulting from the inaccuracy or breach of any of the representations, warranties or covenants of DMT contained in this Agreement.  The indemnity provision contained in this Section 5(a) shall be the parties' sole remedies as a result of the breach by any party hereto of any of its representations, warranties, covenants or agreements contained in this Agreement.</w:t>
      </w:r>
    </w:p>
    <w:p>
      <w:pPr>
        <w:pStyle w:val="BodyTextFirstIndent"/>
        <w:spacing w:before="0" w:after="0"/>
        <w:rPr>
          <w:sz w:val="24"/>
        </w:rPr>
      </w:pPr>
      <w:r>
        <w:rPr>
          <w:sz w:val="24"/>
        </w:rPr>
        <w:t>(b)</w:t>
        <w:tab/>
        <w:t>No party shall be entitled to recover damages in respect of any claim for breach of any warranty, representation or covenant or otherwise obtain reimbursement or restitution more than once in respect of any one such breach or any fact, event or circumstance or set of facts, events or circumstances.</w:t>
      </w:r>
    </w:p>
    <w:p>
      <w:pPr>
        <w:pStyle w:val="Normal"/>
        <w:ind w:firstLine="720" w:end="0"/>
        <w:rPr>
          <w:rFonts w:eastAsia="Century Schoolbook"/>
          <w:sz w:val="24"/>
        </w:rPr>
      </w:pPr>
      <w:r>
        <w:rPr>
          <w:rFonts w:eastAsia="Century Schoolbook"/>
          <w:sz w:val="24"/>
        </w:rPr>
        <w:t xml:space="preserve"> </w:t>
      </w:r>
    </w:p>
    <w:p>
      <w:pPr>
        <w:pStyle w:val="Normal"/>
        <w:ind w:firstLine="720" w:end="0"/>
        <w:rPr/>
      </w:pPr>
      <w:r>
        <w:rPr>
          <w:sz w:val="24"/>
        </w:rPr>
        <w:t>(c)</w:t>
        <w:tab/>
        <w:t xml:space="preserve">If Capacity Holder or DMT, as the case may be ("Claimant"), has a claim against the other party hereunder ("Indemnifying Party"), Claimant will transmit to the Indemnifying Party a written notice with respect to such claim, specifying the basis therefor; </w:t>
      </w:r>
      <w:r>
        <w:rPr>
          <w:sz w:val="24"/>
          <w:u w:val="single"/>
        </w:rPr>
        <w:t>provided</w:t>
      </w:r>
      <w:r>
        <w:rPr>
          <w:sz w:val="24"/>
        </w:rPr>
        <w:t xml:space="preserve">, </w:t>
      </w:r>
      <w:r>
        <w:rPr>
          <w:sz w:val="24"/>
          <w:u w:val="single"/>
        </w:rPr>
        <w:t>however</w:t>
      </w:r>
      <w:r>
        <w:rPr>
          <w:sz w:val="24"/>
        </w:rPr>
        <w:t>, that any failure or delay in providing such notice to the Indemnifying Party will not relieve the Indemnifying Party of any obligation hereunder except and only to the extent the Indemnifying Party was actually prejudiced by such delay or failure.  The Indemnifying Party shall within 30 days from its receipt of such notice either notify Claimant that the Indemnifying Party disputes such claim, or pay the amounts owing by the Indemnifying Party under such claim in cash.  If a claim may be deemed to involve both a direct claim (and thus subject to the terms of this Section 5(c)) and a claim involving a third party (and thus subject to the terms of Section 5(d)), it will be treated hereunder as a claim involving a third party.</w:t>
      </w:r>
    </w:p>
    <w:p>
      <w:pPr>
        <w:pStyle w:val="Normal"/>
        <w:rPr>
          <w:sz w:val="24"/>
        </w:rPr>
      </w:pPr>
      <w:r>
        <w:rPr>
          <w:sz w:val="24"/>
        </w:rPr>
      </w:r>
    </w:p>
    <w:p>
      <w:pPr>
        <w:pStyle w:val="Normal"/>
        <w:ind w:firstLine="720" w:end="0"/>
        <w:rPr/>
      </w:pPr>
      <w:r>
        <w:rPr>
          <w:sz w:val="24"/>
        </w:rPr>
        <w:t>(d)</w:t>
        <w:tab/>
        <w:t xml:space="preserve">Promptly after receipt of written notice of a claim involving a third party, Claimant will give Indemnifying Party written notice of any such claim; </w:t>
      </w:r>
      <w:r>
        <w:rPr>
          <w:sz w:val="24"/>
          <w:u w:val="single"/>
        </w:rPr>
        <w:t>provided</w:t>
      </w:r>
      <w:r>
        <w:rPr>
          <w:sz w:val="24"/>
        </w:rPr>
        <w:t xml:space="preserve">, </w:t>
      </w:r>
      <w:r>
        <w:rPr>
          <w:sz w:val="24"/>
          <w:u w:val="single"/>
        </w:rPr>
        <w:t>however</w:t>
      </w:r>
      <w:r>
        <w:rPr>
          <w:sz w:val="24"/>
        </w:rPr>
        <w:t xml:space="preserve">, that any failure or delay in providing such notice to Indemnifying Party will not relieve Indemnifying Party of any obligations hereunder except and only to the extent Indemnifying Party was actually prejudiced by such delay or failure. Indemnifying Party will have the right to undertake the defense, compromise or settlement of such claim and Indemnifying Party will not be liable for the fees or expenses of separate counsel for Claimant, unless the counsel designated by Indemnifying Party is unable, due to a conflict (as determined under applicable law, bar rules and regulations and canons of ethics) arising in connection with representation of Indemnifying Party and Claimant, to fully represent Claimant with respect to such claim, in which case Indemnifying Party will be liable for the fees and expenses of one separate counsel for Claimant.  Claimant will use its reasonable efforts to cooperate fully with respect to the defense of any claim.  Unless Indemnifying Party has delivered to Claimant a written statement in form and substance acceptable to Claimant acknowledging and confirming that a subject claim is fully within the scope of indemnification obligations of Indemnifying Party under this Agreement, if after the passage of a reasonable period of time after notice of any claim, Indemnifying Party has not initiated a defense against such claim, Claimant will have the right to undertake the defense, compromise or settlement of such claim at any time prior to settlement, compromise or final determination thereof and any action so taken by Claimant with regard to such defense, compromise or settlement will be deemed to be within the protection afforded by this Agreement; </w:t>
      </w:r>
      <w:r>
        <w:rPr>
          <w:sz w:val="24"/>
          <w:u w:val="single"/>
        </w:rPr>
        <w:t>provided</w:t>
      </w:r>
      <w:r>
        <w:rPr>
          <w:sz w:val="24"/>
        </w:rPr>
        <w:t xml:space="preserve">, </w:t>
      </w:r>
      <w:r>
        <w:rPr>
          <w:sz w:val="24"/>
          <w:u w:val="single"/>
        </w:rPr>
        <w:t>however</w:t>
      </w:r>
      <w:r>
        <w:rPr>
          <w:sz w:val="24"/>
        </w:rPr>
        <w:t xml:space="preserve">, that any settlement of any such claim shall require the prior written consent of Indemnifying Party, which consent shall not be unreasonably withheld or delayed.  Notwithstanding anything in this Section 5(d) to the contrary, (i) if there is a reasonable possibility that a claim may materially adversely affect Claimant other than as a result of money damages or other money payments that are within the protection afforded by this Agreement, Claimant will have the right, at Indemnifying Party’s cost and expense, to defend, and, with the consent of Indemnifying Party (which consent will not be unreasonably withheld or delayed), to compromise or settle such claim, and (ii) Indemnifying Party will not settle or compromise any claim or consent to the entry of any judgment that does not include as an unconditional term thereof the giving by the third party claimant or plaintiff to Claimant a full, irrevocable and unconditional release from all liability in respect of such claim. </w:t>
      </w:r>
    </w:p>
    <w:p>
      <w:pPr>
        <w:pStyle w:val="Normal"/>
        <w:ind w:firstLine="720" w:end="0"/>
        <w:rPr>
          <w:sz w:val="24"/>
        </w:rPr>
      </w:pPr>
      <w:r>
        <w:rPr>
          <w:sz w:val="24"/>
        </w:rPr>
      </w:r>
    </w:p>
    <w:p>
      <w:pPr>
        <w:pStyle w:val="Heading1"/>
        <w:ind w:hanging="0" w:start="0"/>
        <w:rPr/>
      </w:pPr>
      <w:r>
        <w:rPr/>
        <w:tab/>
        <w:t>DMT, to induce Capacity Holder to enter into this Agreement, represents and warrants to Capacity Holder that:</w:t>
      </w:r>
    </w:p>
    <w:p>
      <w:pPr>
        <w:pStyle w:val="Heading2"/>
        <w:ind w:hanging="0" w:start="0"/>
        <w:rPr>
          <w:sz w:val="24"/>
        </w:rPr>
      </w:pPr>
      <w:r>
        <w:rPr>
          <w:i/>
          <w:sz w:val="24"/>
        </w:rPr>
        <w:tab/>
        <w:t>Authorization and Validity</w:t>
      </w:r>
      <w:r>
        <w:rPr>
          <w:sz w:val="24"/>
        </w:rPr>
        <w:t xml:space="preserve">.  This Agreement and the transactions contemplated hereby have been duly authorized by it, and this Agreement has been duly executed and delivered by it and constitutes its legal, valid and binding obligation, enforceable against it in accordance with its terms, subject, however, to applicable bankruptcy, insolvency, reorganization, moratorium, or similar laws affecting creditors’ rights generally and except as the enforceability thereof may be limited by general principles of equity (regardless of whether considered in a proceeding in equity or at law).  </w:t>
      </w:r>
    </w:p>
    <w:p>
      <w:pPr>
        <w:pStyle w:val="Heading2"/>
        <w:ind w:hanging="0" w:start="0"/>
        <w:rPr>
          <w:sz w:val="24"/>
        </w:rPr>
      </w:pPr>
      <w:r>
        <w:rPr>
          <w:i/>
          <w:sz w:val="24"/>
        </w:rPr>
        <w:tab/>
        <w:t>No Violation</w:t>
      </w:r>
      <w:r>
        <w:rPr>
          <w:sz w:val="24"/>
        </w:rPr>
        <w:t>.  The execution and delivery of this Agreement by it and the performance by it of this Agreement and the consummation of the transactions contemplated hereby, do not and will not (i) violate or conflict with any provision of its partnership agreement, (ii) violate any existing statute or law or any judgment, decree, order, regulation or rule of any court or governmental authority applicable to it, which violation will have a material and adverse effect on its ability to perform its obligations under this Agreement or (iii) under existing law require any consent, approval or authorization of, or designation, declaration or filing with, any governmental authority on the part of DMT, other than as described in this Agreement.</w:t>
      </w:r>
    </w:p>
    <w:p>
      <w:pPr>
        <w:pStyle w:val="Heading2"/>
        <w:ind w:hanging="0" w:start="0"/>
        <w:rPr>
          <w:sz w:val="24"/>
        </w:rPr>
      </w:pPr>
      <w:r>
        <w:rPr>
          <w:i/>
          <w:sz w:val="24"/>
        </w:rPr>
        <w:tab/>
        <w:t>Legal Proceedings</w:t>
      </w:r>
      <w:r>
        <w:rPr>
          <w:sz w:val="24"/>
        </w:rPr>
        <w:t>.  There are no judicial or administrative actions, proceedings, or to its knowledge, investigations (including, without limitation, bankruptcy, reorganization or insolvency actions, proceedings or investigations) pending or, to its knowledge, threatened that (i) challenge the validity of this Agreement or the transactions contemplated hereby, (ii) seek to restrain or prevent any action taken or to be taken by it in connection with this Agreement or (iii) if adversely determined, would have a material and adverse effect on its ability to perform its obligations under this Agreement.</w:t>
      </w:r>
    </w:p>
    <w:p>
      <w:pPr>
        <w:pStyle w:val="Heading1"/>
        <w:ind w:hanging="0" w:start="0"/>
        <w:rPr/>
      </w:pPr>
      <w:r>
        <w:rPr/>
        <w:tab/>
        <w:t>Capacity Holder, to induce DMT to enter into this Agreement, represents and warrants to DMT that:</w:t>
      </w:r>
    </w:p>
    <w:p>
      <w:pPr>
        <w:pStyle w:val="BodyTextIndent3"/>
        <w:spacing w:before="0" w:after="0"/>
        <w:rPr>
          <w:rFonts w:ascii="Century Schoolbook" w:hAnsi="Century Schoolbook" w:cs="Century Schoolbook"/>
        </w:rPr>
      </w:pPr>
      <w:r>
        <w:rPr>
          <w:rFonts w:cs="Century Schoolbook" w:ascii="Century Schoolbook" w:hAnsi="Century Schoolbook"/>
        </w:rPr>
      </w:r>
    </w:p>
    <w:p>
      <w:pPr>
        <w:pStyle w:val="BodyTextIndent3"/>
        <w:spacing w:before="0" w:after="0"/>
        <w:rPr/>
      </w:pPr>
      <w:r>
        <w:rPr>
          <w:rFonts w:cs="Century Schoolbook" w:ascii="Century Schoolbook" w:hAnsi="Century Schoolbook"/>
        </w:rPr>
        <w:t>(a)</w:t>
        <w:tab/>
      </w:r>
      <w:r>
        <w:rPr>
          <w:rFonts w:cs="Century Schoolbook" w:ascii="Century Schoolbook" w:hAnsi="Century Schoolbook"/>
          <w:i/>
        </w:rPr>
        <w:t>Authorization and Validity</w:t>
      </w:r>
      <w:r>
        <w:rPr>
          <w:rFonts w:cs="Century Schoolbook" w:ascii="Century Schoolbook" w:hAnsi="Century Schoolbook"/>
        </w:rPr>
        <w:t xml:space="preserve">.  This Agreement and the transactions contemplated hereby have been duly authorized by it, and this Agreement has been duly executed and delivered by it and constitutes its legal, valid and binding obligation, enforceable against it in accordance with its terms, subject, however, to applicable bankruptcy, insolvency, reorganization, moratorium, or similar laws affecting creditors’ rights generally and except as the enforceability thereof may be limited by general principles of equity (regardless of whether considered in a proceeding in equity or at law).  </w:t>
      </w:r>
    </w:p>
    <w:p>
      <w:pPr>
        <w:pStyle w:val="BodyTextIndent3"/>
        <w:spacing w:before="0" w:after="0"/>
        <w:rPr>
          <w:rFonts w:ascii="Century Schoolbook" w:hAnsi="Century Schoolbook" w:cs="Century Schoolbook"/>
          <w:i/>
          <w:i/>
        </w:rPr>
      </w:pPr>
      <w:r>
        <w:rPr>
          <w:rFonts w:cs="Century Schoolbook" w:ascii="Century Schoolbook" w:hAnsi="Century Schoolbook"/>
          <w:i/>
        </w:rPr>
      </w:r>
    </w:p>
    <w:p>
      <w:pPr>
        <w:pStyle w:val="BodyTextIndent3"/>
        <w:spacing w:before="0" w:after="0"/>
        <w:rPr/>
      </w:pPr>
      <w:r>
        <w:rPr>
          <w:rFonts w:cs="Century Schoolbook" w:ascii="Century Schoolbook" w:hAnsi="Century Schoolbook"/>
        </w:rPr>
        <w:t>(b)</w:t>
        <w:tab/>
      </w:r>
      <w:r>
        <w:rPr>
          <w:rFonts w:cs="Century Schoolbook" w:ascii="Century Schoolbook" w:hAnsi="Century Schoolbook"/>
          <w:i/>
        </w:rPr>
        <w:t>No Violation</w:t>
      </w:r>
      <w:r>
        <w:rPr>
          <w:rFonts w:cs="Century Schoolbook" w:ascii="Century Schoolbook" w:hAnsi="Century Schoolbook"/>
        </w:rPr>
        <w:t xml:space="preserve">.  The execution and delivery of this Agreement by it and the performance by it of this Agreement and the consummation of the transactions contemplated hereby, do not and will not (i) violate or conflict with any provision of its </w:t>
      </w:r>
      <w:r>
        <w:rPr/>
        <w:t>certificate of incorporation or by-laws</w:t>
      </w:r>
      <w:r>
        <w:rPr>
          <w:rFonts w:cs="Century Schoolbook" w:ascii="Century Schoolbook" w:hAnsi="Century Schoolbook"/>
        </w:rPr>
        <w:t>, (ii) violate any existing statute or law or any judgment, decree, order, regulation or rule of any court or governmental authority applicable to it, which violation will have a material and adverse effect on its ability to perform its obligations under this Agreement or (iii) under existing law require any consent, approval or authorization of, or designation, declaration or filing with, any governmental authority on the part of Capacity Holder, other than as described in this Agreement.</w:t>
      </w:r>
    </w:p>
    <w:p>
      <w:pPr>
        <w:pStyle w:val="BodyTextIndent3"/>
        <w:spacing w:before="0" w:after="0"/>
        <w:rPr>
          <w:rFonts w:ascii="Century Schoolbook" w:hAnsi="Century Schoolbook" w:cs="Century Schoolbook"/>
          <w:i/>
          <w:i/>
        </w:rPr>
      </w:pPr>
      <w:r>
        <w:rPr>
          <w:rFonts w:cs="Century Schoolbook" w:ascii="Century Schoolbook" w:hAnsi="Century Schoolbook"/>
          <w:i/>
        </w:rPr>
      </w:r>
    </w:p>
    <w:p>
      <w:pPr>
        <w:pStyle w:val="BodyTextIndent3"/>
        <w:spacing w:before="0" w:after="0"/>
        <w:rPr/>
      </w:pPr>
      <w:r>
        <w:rPr>
          <w:rFonts w:cs="Century Schoolbook" w:ascii="Century Schoolbook" w:hAnsi="Century Schoolbook"/>
        </w:rPr>
        <w:t>(c)</w:t>
        <w:tab/>
      </w:r>
      <w:r>
        <w:rPr>
          <w:rFonts w:cs="Century Schoolbook" w:ascii="Century Schoolbook" w:hAnsi="Century Schoolbook"/>
          <w:i/>
        </w:rPr>
        <w:t>Legal Proceedings</w:t>
      </w:r>
      <w:r>
        <w:rPr>
          <w:rFonts w:cs="Century Schoolbook" w:ascii="Century Schoolbook" w:hAnsi="Century Schoolbook"/>
        </w:rPr>
        <w:t xml:space="preserve">.  There are no judicial or administrative actions, proceedings, or to its knowledge, investigations (including, without limitation, bankruptcy, reorganization or insolvency actions, proceedings or investigations) pending or, to its knowledge, threatened that (i) challenge the validity of this Agreement or the transactions contemplated hereby, (ii) seek to restrain or prevent any action taken or to be taken by it in connection with this Agreement or (iii) if adversely determined, would have a material and adverse effect on its ability to perform its obligations under this Agreement. </w:t>
      </w:r>
    </w:p>
    <w:p>
      <w:pPr>
        <w:pStyle w:val="Normal"/>
        <w:rPr>
          <w:rFonts w:ascii="Century Schoolbook" w:hAnsi="Century Schoolbook" w:cs="Century Schoolbook"/>
          <w:sz w:val="24"/>
        </w:rPr>
      </w:pPr>
      <w:r>
        <w:rPr>
          <w:rFonts w:cs="Century Schoolbook"/>
          <w:sz w:val="24"/>
        </w:rPr>
      </w:r>
    </w:p>
    <w:p>
      <w:pPr>
        <w:pStyle w:val="Heading1"/>
        <w:ind w:hanging="0" w:start="0"/>
        <w:rPr/>
      </w:pPr>
      <w:r>
        <w:rPr/>
        <w:tab/>
        <w:t>Notwithstanding anything to the contrary contained herein, DMT acknowledges and agrees that the permanent release of the Capacity contemplated by this Agreement is subject to the rules and regulations of the FERC, including without limitation, those contained in 18 C.F.R. Part 284.8, and the tariffs and procedures of each of the applicable Transporters.  In connection with the foregoing, DMT acknowledges and agrees that Capacity posted for release at less than the maximum applicable tariff rate is subject to competitive bidding, and that there is no guaranty such Capacity will be released to DMT hereunder.</w:t>
      </w:r>
    </w:p>
    <w:p>
      <w:pPr>
        <w:pStyle w:val="Heading1"/>
        <w:ind w:hanging="0" w:start="0"/>
        <w:rPr/>
      </w:pPr>
      <w:r>
        <w:rPr/>
        <w:tab/>
        <w:t>(a)</w:t>
        <w:tab/>
        <w:t>This Agreement and all of the provisions hereof shall be binding upon, and inure to the benefit of, the parties hereto and their respective successors and permitted assigns, but neither this Agreement nor any of the rights, interests or obligations hereunder shall be assigned, except to an affiliate or successor, by either party hereto, whether by operation of law or otherwise, without the prior written consent of the other party, which consent may not be unreasonably withheld or delayed.  No assignment of all or any portion of the rights, interests or obligations permitted pursuant to the immediately preceding sentence shall relieve or discharge the assignor from any of its obligations under this Agreement without the prior written consent of the non</w:t>
        <w:noBreakHyphen/>
        <w:t>assigning party, which consent shall not be unreasonably withheld or delayed.  Any assignment of this Agreement in violation of the foregoing shall be, at the option of the non-assigning party, void.</w:t>
      </w:r>
    </w:p>
    <w:p>
      <w:pPr>
        <w:pStyle w:val="BodyTextIndent3"/>
        <w:spacing w:before="0" w:after="0"/>
        <w:rPr>
          <w:rFonts w:ascii="Century Schoolbook" w:hAnsi="Century Schoolbook" w:cs="Century Schoolbook"/>
        </w:rPr>
      </w:pPr>
      <w:r>
        <w:rPr>
          <w:rFonts w:cs="Century Schoolbook" w:ascii="Century Schoolbook" w:hAnsi="Century Schoolbook"/>
        </w:rPr>
      </w:r>
    </w:p>
    <w:p>
      <w:pPr>
        <w:pStyle w:val="BodyTextIndent3"/>
        <w:spacing w:before="0" w:after="0"/>
        <w:rPr>
          <w:rFonts w:ascii="Century Schoolbook" w:hAnsi="Century Schoolbook" w:cs="Century Schoolbook"/>
        </w:rPr>
      </w:pPr>
      <w:r>
        <w:rPr>
          <w:rFonts w:cs="Century Schoolbook" w:ascii="Century Schoolbook" w:hAnsi="Century Schoolbook"/>
        </w:rPr>
        <w:t>(b)</w:t>
        <w:tab/>
        <w:t>Notwithstanding the foregoing provisions of Section 9(a), Capacity Holder may assign, transfer, pledge or otherwise dispose of its rights and interests hereunder to a trustee or lending institution for the purposes of financing or refinancing any of its assets, including upon or pursuant to the exercise of remedies with respect to such financing or refinancing, or by way of assignments, transfers, pledges or other dispositions in lieu thereof.  DMT agrees to execute and deliver such documents as may be reasonably necessary to accomplish any such assignment, transfer, pledge or other disposition of rights hereunder, so long as DMT’s rights under this Agreement are not thereby altered, amended, diminished or otherwise impaired.</w:t>
      </w:r>
    </w:p>
    <w:p>
      <w:pPr>
        <w:pStyle w:val="Normal"/>
        <w:rPr>
          <w:rFonts w:ascii="Century Schoolbook" w:hAnsi="Century Schoolbook" w:cs="Century Schoolbook"/>
          <w:sz w:val="24"/>
        </w:rPr>
      </w:pPr>
      <w:r>
        <w:rPr>
          <w:rFonts w:cs="Century Schoolbook"/>
          <w:sz w:val="24"/>
        </w:rPr>
      </w:r>
    </w:p>
    <w:p>
      <w:pPr>
        <w:pStyle w:val="Heading1"/>
        <w:ind w:hanging="0" w:start="0"/>
        <w:rPr/>
      </w:pPr>
      <w:r>
        <w:rPr/>
        <w:tab/>
        <w:t xml:space="preserve">This Agreement shall be governed by and construed in accordance with the law of the State of Texas as to all matters (without giving effect to conflict of law principles).   Each of Capacity Holder and DMT hereby irrevocably waives, to the fullest extent permitted by law, any and all right to trial by jury in any legal proceedings arising out of or relating to this Agreement.  </w:t>
      </w:r>
    </w:p>
    <w:p>
      <w:pPr>
        <w:pStyle w:val="Normal"/>
        <w:rPr>
          <w:sz w:val="24"/>
        </w:rPr>
      </w:pPr>
      <w:r>
        <w:rPr>
          <w:sz w:val="24"/>
        </w:rPr>
      </w:r>
    </w:p>
    <w:p>
      <w:pPr>
        <w:pStyle w:val="Heading1"/>
        <w:ind w:hanging="0" w:start="0"/>
        <w:rPr/>
      </w:pPr>
      <w:r>
        <w:rPr/>
        <w:tab/>
        <w:t>Each of Capacity Holder and DMT hereby irrevocably and unconditionally:</w:t>
      </w:r>
    </w:p>
    <w:p>
      <w:pPr>
        <w:pStyle w:val="Normal"/>
        <w:rPr>
          <w:sz w:val="24"/>
        </w:rPr>
      </w:pPr>
      <w:r>
        <w:rPr>
          <w:sz w:val="24"/>
        </w:rPr>
        <w:tab/>
        <w:t>(a)</w:t>
        <w:tab/>
        <w:t>submits for itself and its property in any legal action or proceeding relating to this Agreement, or for recognition and enforcement of any judgment in respect thereof, to the non-exclusive general jurisdiction of the courts of the State of Texas, the courts of the United States for the Southern District of Texas and appellate courts from any thereof;</w:t>
      </w:r>
    </w:p>
    <w:p>
      <w:pPr>
        <w:pStyle w:val="Normal"/>
        <w:rPr>
          <w:sz w:val="24"/>
        </w:rPr>
      </w:pPr>
      <w:r>
        <w:rPr>
          <w:sz w:val="24"/>
        </w:rPr>
      </w:r>
    </w:p>
    <w:p>
      <w:pPr>
        <w:pStyle w:val="Normal"/>
        <w:rPr>
          <w:sz w:val="24"/>
        </w:rPr>
      </w:pPr>
      <w:r>
        <w:rPr>
          <w:sz w:val="24"/>
        </w:rPr>
        <w:tab/>
        <w:t>(b)</w:t>
        <w:tab/>
        <w:t>consents and agrees that any such action or proceeding may be brought in such courts and waives any objection that it may now or hereafter have to the venue of any such action or proceeding in any such court or that such action or proceeding was brought in an inconvenient court and agrees not to plead or claim the same;</w:t>
      </w:r>
    </w:p>
    <w:p>
      <w:pPr>
        <w:pStyle w:val="Normal"/>
        <w:rPr>
          <w:sz w:val="24"/>
        </w:rPr>
      </w:pPr>
      <w:r>
        <w:rPr>
          <w:sz w:val="24"/>
        </w:rPr>
      </w:r>
    </w:p>
    <w:p>
      <w:pPr>
        <w:pStyle w:val="t1"/>
        <w:spacing w:lineRule="auto" w:line="240"/>
        <w:rPr>
          <w:rFonts w:ascii="Century Schoolbook" w:hAnsi="Century Schoolbook" w:cs="Century Schoolbook"/>
          <w:lang w:eastAsia="en-CA"/>
        </w:rPr>
      </w:pPr>
      <w:r>
        <w:rPr>
          <w:rFonts w:cs="Century Schoolbook" w:ascii="Century Schoolbook" w:hAnsi="Century Schoolbook"/>
          <w:lang w:eastAsia="en-CA"/>
        </w:rPr>
        <w:tab/>
        <w:t>(c)</w:t>
        <w:tab/>
        <w:t>agrees that service of process in any such action or proceeding may be effected by mailing a copy thereof by registered or certified mail (or any substantially similar form of mail), postage prepaid, to the other party at its address set forth in Section 12, or at such other address of which the other party shall have been notified pursuant thereto; and</w:t>
      </w:r>
    </w:p>
    <w:p>
      <w:pPr>
        <w:pStyle w:val="Normal"/>
        <w:rPr>
          <w:rFonts w:ascii="Century Schoolbook" w:hAnsi="Century Schoolbook" w:cs="Century Schoolbook"/>
          <w:sz w:val="24"/>
          <w:lang w:eastAsia="en-CA"/>
        </w:rPr>
      </w:pPr>
      <w:r>
        <w:rPr>
          <w:rFonts w:cs="Century Schoolbook"/>
          <w:sz w:val="24"/>
          <w:lang w:eastAsia="en-CA"/>
        </w:rPr>
      </w:r>
    </w:p>
    <w:p>
      <w:pPr>
        <w:pStyle w:val="Normal"/>
        <w:tabs>
          <w:tab w:val="clear" w:pos="720"/>
          <w:tab w:val="left" w:pos="1440" w:leader="none"/>
        </w:tabs>
        <w:ind w:firstLine="720" w:end="0"/>
        <w:rPr>
          <w:sz w:val="24"/>
        </w:rPr>
      </w:pPr>
      <w:r>
        <w:rPr/>
        <w:t>(d)</w:t>
        <w:tab/>
        <w:t>agrees that nothing herein shall affect the right to effect service of process in any other manner permitted by law.</w:t>
      </w:r>
    </w:p>
    <w:p>
      <w:pPr>
        <w:pStyle w:val="Normal"/>
        <w:tabs>
          <w:tab w:val="clear" w:pos="720"/>
          <w:tab w:val="left" w:pos="1440" w:leader="none"/>
        </w:tabs>
        <w:ind w:firstLine="720" w:end="0"/>
        <w:rPr>
          <w:sz w:val="24"/>
        </w:rPr>
      </w:pPr>
      <w:r>
        <w:rPr>
          <w:sz w:val="24"/>
        </w:rPr>
      </w:r>
    </w:p>
    <w:p>
      <w:pPr>
        <w:pStyle w:val="Heading1"/>
        <w:keepNext w:val="true"/>
        <w:keepLines/>
        <w:ind w:hanging="0" w:start="0"/>
        <w:rPr/>
      </w:pPr>
      <w:r>
        <w:rPr/>
        <w:tab/>
        <w:t>Notices required or permitted to be given hereunder shall be in writing and shall be deemed to be sufficiently given when personally delivered (including delivery by an express or overnight delivery service), when received by facsimile transmission or when sent by registered mail, return receipt requested, addressed:</w:t>
      </w:r>
    </w:p>
    <w:p>
      <w:pPr>
        <w:pStyle w:val="Normal"/>
        <w:rPr>
          <w:sz w:val="24"/>
        </w:rPr>
      </w:pPr>
      <w:r>
        <w:rPr>
          <w:sz w:val="24"/>
        </w:rPr>
      </w:r>
    </w:p>
    <w:p>
      <w:pPr>
        <w:pStyle w:val="BodyTextIndent"/>
        <w:spacing w:before="0" w:after="0"/>
        <w:rPr/>
      </w:pPr>
      <w:r>
        <w:rPr>
          <w:sz w:val="24"/>
          <w:u w:val="single"/>
        </w:rPr>
        <w:t>if to Capacity Holder</w:t>
      </w:r>
      <w:r>
        <w:rPr>
          <w:sz w:val="24"/>
        </w:rPr>
        <w:t xml:space="preserve">, at: </w:t>
        <w:br/>
        <w:br/>
        <w:t>Enron North America Corp.</w:t>
        <w:br/>
        <w:t>Compliance Department</w:t>
      </w:r>
    </w:p>
    <w:p>
      <w:pPr>
        <w:pStyle w:val="BodyTextIndent"/>
        <w:spacing w:before="0" w:after="0"/>
        <w:rPr>
          <w:sz w:val="24"/>
        </w:rPr>
      </w:pPr>
      <w:r>
        <w:rPr>
          <w:sz w:val="24"/>
        </w:rPr>
        <w:t>1400 Smith Street</w:t>
        <w:br/>
        <w:t>Houston, Texas 77002</w:t>
        <w:br/>
        <w:t>Attention: Donna Lowry</w:t>
        <w:br/>
        <w:t>Telefax:  (713) 646-4039</w:t>
        <w:br/>
      </w:r>
    </w:p>
    <w:p>
      <w:pPr>
        <w:pStyle w:val="Normal"/>
        <w:ind w:start="1440" w:end="0"/>
        <w:rPr/>
      </w:pPr>
      <w:r>
        <w:rPr>
          <w:sz w:val="24"/>
        </w:rPr>
        <w:br/>
      </w:r>
      <w:r>
        <w:rPr>
          <w:sz w:val="24"/>
          <w:u w:val="single"/>
        </w:rPr>
        <w:t>if to DMT</w:t>
      </w:r>
      <w:r>
        <w:rPr>
          <w:sz w:val="24"/>
        </w:rPr>
        <w:t>, at:</w:t>
        <w:br/>
        <w:br/>
        <w:t>Dynegy Marketing &amp; Trade</w:t>
      </w:r>
    </w:p>
    <w:p>
      <w:pPr>
        <w:pStyle w:val="Normal"/>
        <w:ind w:start="1440" w:end="0"/>
        <w:rPr>
          <w:sz w:val="24"/>
        </w:rPr>
      </w:pPr>
      <w:r>
        <w:rPr>
          <w:sz w:val="24"/>
        </w:rPr>
        <w:t>1000 Louisiana Street, Suite 5800</w:t>
      </w:r>
    </w:p>
    <w:p>
      <w:pPr>
        <w:pStyle w:val="Normal"/>
        <w:ind w:start="1440" w:end="0"/>
        <w:rPr>
          <w:sz w:val="24"/>
        </w:rPr>
      </w:pPr>
      <w:r>
        <w:rPr>
          <w:sz w:val="24"/>
        </w:rPr>
        <w:t>Houston, Texas  77002</w:t>
      </w:r>
    </w:p>
    <w:p>
      <w:pPr>
        <w:pStyle w:val="Normal"/>
        <w:ind w:start="1440" w:end="0"/>
        <w:rPr>
          <w:sz w:val="24"/>
        </w:rPr>
      </w:pPr>
      <w:r>
        <w:rPr>
          <w:sz w:val="24"/>
        </w:rPr>
        <w:t xml:space="preserve">Attention: Contract Administration </w:t>
      </w:r>
    </w:p>
    <w:p>
      <w:pPr>
        <w:pStyle w:val="Normal"/>
        <w:ind w:start="1440" w:end="0"/>
        <w:rPr>
          <w:sz w:val="24"/>
        </w:rPr>
      </w:pPr>
      <w:r>
        <w:rPr>
          <w:sz w:val="24"/>
        </w:rPr>
        <w:t>Phone: 713-507-3713</w:t>
      </w:r>
    </w:p>
    <w:p>
      <w:pPr>
        <w:pStyle w:val="Normal"/>
        <w:ind w:start="1440" w:end="0"/>
        <w:rPr>
          <w:sz w:val="24"/>
        </w:rPr>
      </w:pPr>
      <w:r>
        <w:rPr>
          <w:sz w:val="24"/>
        </w:rPr>
        <w:t>Fax: 713-507-3780</w:t>
      </w:r>
    </w:p>
    <w:p>
      <w:pPr>
        <w:pStyle w:val="BodyTextIndent"/>
        <w:rPr>
          <w:sz w:val="24"/>
        </w:rPr>
      </w:pPr>
      <w:r>
        <w:rPr>
          <w:sz w:val="24"/>
        </w:rPr>
      </w:r>
    </w:p>
    <w:p>
      <w:pPr>
        <w:pStyle w:val="Heading1"/>
        <w:ind w:hanging="0" w:start="0"/>
        <w:rPr/>
      </w:pPr>
      <w:r>
        <w:rPr/>
        <w:tab/>
        <w:t>Any provision of this Agreement held to be invalid, illegal or unenforceable in any jurisdiction shall, as to such jurisdiction, be ineffective to the extent of such invalidity, illegality or unenforceability without affecting the validity, legality and enforceability of the remaining provisions hereof.  The invalidity of a particular provision in a particular jurisdiction shall not invalidate such provision in any other jurisdiction.</w:t>
      </w:r>
    </w:p>
    <w:p>
      <w:pPr>
        <w:pStyle w:val="Normal"/>
        <w:rPr>
          <w:sz w:val="24"/>
        </w:rPr>
      </w:pPr>
      <w:r>
        <w:rPr>
          <w:sz w:val="24"/>
        </w:rPr>
      </w:r>
    </w:p>
    <w:p>
      <w:pPr>
        <w:pStyle w:val="Heading1"/>
        <w:ind w:hanging="0" w:start="0"/>
        <w:rPr/>
      </w:pPr>
      <w:r>
        <w:rPr/>
        <w:tab/>
        <w:t>This Agreement may be executed in one or more counterparts, each of which shall be deemed an original but all of which together shall constitute one and the same instrument.</w:t>
      </w:r>
    </w:p>
    <w:p>
      <w:pPr>
        <w:pStyle w:val="BodyText"/>
        <w:jc w:val="center"/>
        <w:rPr>
          <w:sz w:val="24"/>
        </w:rPr>
      </w:pPr>
      <w:r>
        <w:rPr>
          <w:sz w:val="24"/>
        </w:rPr>
      </w:r>
    </w:p>
    <w:p>
      <w:pPr>
        <w:pStyle w:val="BodyText"/>
        <w:jc w:val="center"/>
        <w:rPr>
          <w:sz w:val="24"/>
        </w:rPr>
      </w:pPr>
      <w:r>
        <w:rPr>
          <w:sz w:val="24"/>
        </w:rPr>
        <w:t>[Signature page follows]</w:t>
      </w:r>
      <w:r>
        <w:br w:type="page"/>
      </w:r>
    </w:p>
    <w:p>
      <w:pPr>
        <w:pStyle w:val="BodyTextFirstIndent"/>
        <w:spacing w:before="0" w:after="720"/>
        <w:rPr>
          <w:sz w:val="24"/>
        </w:rPr>
      </w:pPr>
      <w:r>
        <w:rPr>
          <w:sz w:val="24"/>
        </w:rPr>
        <w:t>IN WITNESS WHEREOF, the undersigned have executed this Agreement as of the date first above written.</w:t>
      </w:r>
    </w:p>
    <w:p>
      <w:pPr>
        <w:pStyle w:val="Signature"/>
        <w:spacing w:before="0" w:after="0"/>
        <w:ind w:hanging="547" w:start="4867" w:end="0"/>
        <w:rPr>
          <w:sz w:val="24"/>
        </w:rPr>
      </w:pPr>
      <w:r>
        <w:rPr>
          <w:sz w:val="24"/>
        </w:rPr>
        <w:t>ENRON NORTH AMERICA CORP.</w:t>
      </w:r>
    </w:p>
    <w:p>
      <w:pPr>
        <w:pStyle w:val="Signature"/>
        <w:spacing w:before="0" w:after="120"/>
        <w:rPr>
          <w:sz w:val="24"/>
        </w:rPr>
      </w:pPr>
      <w:r>
        <w:rPr>
          <w:sz w:val="24"/>
        </w:rPr>
      </w:r>
    </w:p>
    <w:p>
      <w:pPr>
        <w:pStyle w:val="Signature"/>
        <w:rPr>
          <w:sz w:val="24"/>
        </w:rPr>
      </w:pPr>
      <w:r>
        <w:rPr>
          <w:sz w:val="24"/>
        </w:rPr>
        <w:t>By:  ________________________________</w:t>
        <w:br/>
        <w:t>Name:  Jeffrey M. Donahue</w:t>
        <w:br/>
        <w:t xml:space="preserve">Title:    Managing Director </w:t>
        <w:br/>
        <w:br/>
        <w:br/>
        <w:t>DYNEGY MARKETING AND TRADE</w:t>
      </w:r>
    </w:p>
    <w:p>
      <w:pPr>
        <w:pStyle w:val="Signature"/>
        <w:rPr>
          <w:sz w:val="24"/>
        </w:rPr>
      </w:pPr>
      <w:r>
        <w:rPr>
          <w:sz w:val="24"/>
        </w:rPr>
        <w:br/>
        <w:t>By:  ________________________________</w:t>
        <w:br/>
        <w:t>Name:  _____________________________</w:t>
        <w:br/>
        <w:t>Title:  ______________________________</w:t>
      </w:r>
    </w:p>
    <w:p>
      <w:pPr>
        <w:pStyle w:val="Normal"/>
        <w:rPr>
          <w:sz w:val="24"/>
        </w:rPr>
      </w:pPr>
      <w:r>
        <w:rPr>
          <w:sz w:val="24"/>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Normal"/>
        <w:rPr>
          <w:sz w:val="24"/>
        </w:rPr>
      </w:pPr>
      <w:r>
        <w:rPr>
          <w:sz w:val="24"/>
        </w:rPr>
      </w:r>
    </w:p>
    <w:p>
      <w:pPr>
        <w:pStyle w:val="BodyText"/>
        <w:spacing w:before="0" w:after="480"/>
        <w:jc w:val="center"/>
        <w:rPr/>
      </w:pPr>
      <w:r>
        <w:rPr>
          <w:b/>
          <w:sz w:val="24"/>
          <w:u w:val="single"/>
        </w:rPr>
        <w:t>Annex A</w:t>
      </w:r>
      <w:r>
        <w:rPr>
          <w:b/>
          <w:sz w:val="24"/>
        </w:rPr>
        <w:br/>
        <w:br/>
        <w:t>ANR Gas Transportation Agreements</w:t>
      </w:r>
    </w:p>
    <w:p>
      <w:pPr>
        <w:pStyle w:val="BodyTexthanging"/>
        <w:rPr>
          <w:sz w:val="24"/>
        </w:rPr>
      </w:pPr>
      <w:r>
        <w:rPr>
          <w:sz w:val="24"/>
        </w:rPr>
        <w:t>1.</w:t>
        <w:tab/>
        <w:t>FTS-1 Service Agreement (Contract No. 19600), dated August 23, 1994, between ANR Pipeline Company and Sithe/Independence Power Partners, L.P., as amended by the Second Amended and Restated Agreement dated August 23, 1994 between ANR Pipeline Company and Sithe/Independence Power Partners, L.P., and as further amended by the Amendment dated April 15, 1997 between ANR Pipeline Company and Sithe/Independence Power Partners, L.P.</w:t>
      </w:r>
    </w:p>
    <w:p>
      <w:pPr>
        <w:pStyle w:val="BodyTexthanging"/>
        <w:rPr>
          <w:sz w:val="24"/>
        </w:rPr>
      </w:pPr>
      <w:r>
        <w:rPr>
          <w:sz w:val="24"/>
        </w:rPr>
        <w:t>2.</w:t>
        <w:tab/>
        <w:t>FTS-1 Service Agreement (Contract No. 19630), dated April 15, 1997, between ANR Pipeline Company and Sithe/Independence Power Partners, L.P.</w:t>
      </w:r>
    </w:p>
    <w:p>
      <w:pPr>
        <w:pStyle w:val="BodyTexthanging"/>
        <w:rPr>
          <w:sz w:val="24"/>
        </w:rPr>
      </w:pPr>
      <w:r>
        <w:rPr>
          <w:sz w:val="24"/>
        </w:rPr>
        <w:t>3.</w:t>
        <w:tab/>
        <w:t>Gathering Agreement (Contract No. GA69600), dated May 1, 1994, between ANR Pipeline Company and Sithe/Independence Power Partners, L.P., as amended by the Amendment dated August 15, 1996 between ANR Pipeline Company and Sithe/Independence Power Partners, L.P.</w:t>
      </w:r>
    </w:p>
    <w:p>
      <w:pPr>
        <w:pStyle w:val="Normal"/>
        <w:rPr>
          <w:sz w:val="24"/>
        </w:rPr>
      </w:pPr>
      <w:r>
        <w:rPr>
          <w:sz w:val="24"/>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BodyText"/>
        <w:spacing w:before="0" w:after="480"/>
        <w:jc w:val="center"/>
        <w:rPr/>
      </w:pPr>
      <w:r>
        <w:rPr>
          <w:b/>
          <w:sz w:val="24"/>
          <w:u w:val="single"/>
        </w:rPr>
        <w:t>Annex B</w:t>
        <w:br/>
      </w:r>
      <w:r>
        <w:rPr>
          <w:b/>
          <w:sz w:val="24"/>
        </w:rPr>
        <w:br/>
        <w:t>Great Lakes Gas Transportation Agreement</w:t>
      </w:r>
    </w:p>
    <w:p>
      <w:pPr>
        <w:pStyle w:val="BodyTexthanging"/>
        <w:rPr>
          <w:sz w:val="24"/>
        </w:rPr>
      </w:pPr>
      <w:r>
        <w:rPr>
          <w:sz w:val="24"/>
        </w:rPr>
        <w:t>1.</w:t>
        <w:tab/>
        <w:t>Transportation Service Agreement (FT089), dated May 6, 1997, between Sithe/Independence Power Partners, L.P. and Great Lakes Gas Transmission Limited Partnership, as amended or supplemented from time to time.</w:t>
      </w:r>
    </w:p>
    <w:p>
      <w:pPr>
        <w:pStyle w:val="Normal"/>
        <w:rPr>
          <w:sz w:val="24"/>
        </w:rPr>
      </w:pPr>
      <w:r>
        <w:rPr>
          <w:sz w:val="24"/>
        </w:rPr>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pStyle w:val="Normal"/>
        <w:rPr>
          <w:sz w:val="24"/>
        </w:rPr>
      </w:pPr>
      <w:r>
        <w:rPr>
          <w:sz w:val="24"/>
        </w:rPr>
      </w:r>
    </w:p>
    <w:p>
      <w:pPr>
        <w:pStyle w:val="BodyText"/>
        <w:spacing w:before="0" w:after="480"/>
        <w:jc w:val="center"/>
        <w:rPr/>
      </w:pPr>
      <w:r>
        <w:rPr>
          <w:b/>
          <w:sz w:val="24"/>
          <w:u w:val="single"/>
        </w:rPr>
        <w:t>Annex C</w:t>
      </w:r>
      <w:r>
        <w:rPr>
          <w:b/>
          <w:sz w:val="24"/>
        </w:rPr>
        <w:br/>
        <w:br/>
        <w:t>Panhandle Gas Transportation Agreements</w:t>
      </w:r>
    </w:p>
    <w:p>
      <w:pPr>
        <w:pStyle w:val="BodyTexthanging"/>
        <w:rPr>
          <w:sz w:val="24"/>
        </w:rPr>
      </w:pPr>
      <w:r>
        <w:rPr>
          <w:sz w:val="24"/>
        </w:rPr>
        <w:t>1.</w:t>
        <w:tab/>
        <w:t>FT Transportation Agreement (Contract  No. 012941), dated July 13, 1994, between Sithe/Independence Power Partners, L.P. and Panhandle Eastern Pipe Line Company, as amended by the Amendment to Transportation Agreement dated November 30, 1998.</w:t>
      </w:r>
    </w:p>
    <w:p>
      <w:pPr>
        <w:pStyle w:val="BodyTexthanging"/>
        <w:rPr>
          <w:sz w:val="24"/>
        </w:rPr>
      </w:pPr>
      <w:r>
        <w:rPr>
          <w:sz w:val="24"/>
        </w:rPr>
        <w:t>2.</w:t>
        <w:tab/>
        <w:t>Alternative Rate Letter Agreement, dated March 20, 1992, between Sithe/Independence Power Partners, L.P. and Panhandle Eastern Pipe Line Company.</w:t>
      </w:r>
    </w:p>
    <w:p>
      <w:pPr>
        <w:pStyle w:val="Normal"/>
        <w:rPr>
          <w:sz w:val="24"/>
        </w:rPr>
      </w:pPr>
      <w:r>
        <w:rPr>
          <w:sz w:val="24"/>
        </w:rPr>
      </w:r>
    </w:p>
    <w:p>
      <w:pPr>
        <w:pStyle w:val="Normal"/>
        <w:rPr>
          <w:sz w:val="24"/>
        </w:rPr>
      </w:pPr>
      <w:r>
        <w:rPr>
          <w:sz w:val="24"/>
        </w:rPr>
      </w:r>
    </w:p>
    <w:sectPr>
      <w:headerReference w:type="default" r:id="rId14"/>
      <w:headerReference w:type="first" r:id="rId15"/>
      <w:footerReference w:type="default" r:id="rId16"/>
      <w:footerReference w:type="first" r:id="rId17"/>
      <w:type w:val="nextPage"/>
      <w:pgSz w:w="12240" w:h="15840"/>
      <w:pgMar w:left="1440" w:right="1440" w:gutter="0" w:header="1440" w:top="1496"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Schoolbook">
    <w:charset w:val="00" w:characterSet="windows-1252"/>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rPr>
        <w:rStyle w:val="PageNumber"/>
        <w:sz w:val="12"/>
      </w:rPr>
    </w:pPr>
    <w:r>
      <w:rPr/>
    </w:r>
  </w:p>
  <w:p>
    <w:pPr>
      <w:pStyle w:val="Footer"/>
      <w:rPr/>
    </w:pPr>
    <w:r>
      <w:rPr>
        <w:rStyle w:val="PageNumber"/>
        <w:sz w:val="12"/>
      </w:rPr>
      <w:t>\\\DC - 67471/1 - #1351497 v5</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tab/>
    </w:r>
  </w:p>
  <w:p>
    <w:pPr>
      <w:pStyle w:val="Footer"/>
      <w:rPr>
        <w:rFonts w:ascii="Times New Roman" w:hAnsi="Times New Roman" w:cs="Times New Roman"/>
        <w:sz w:val="12"/>
      </w:rPr>
    </w:pPr>
    <w:r>
      <w:rPr>
        <w:rFonts w:cs="Times New Roman" w:ascii="Times New Roman" w:hAnsi="Times New Roman"/>
        <w:sz w:val="12"/>
      </w:rPr>
    </w:r>
  </w:p>
  <w:p>
    <w:pPr>
      <w:pStyle w:val="Footer"/>
      <w:rPr>
        <w:rFonts w:ascii="Times New Roman" w:hAnsi="Times New Roman" w:cs="Times New Roman"/>
        <w:sz w:val="12"/>
      </w:rPr>
    </w:pPr>
    <w:r>
      <w:rPr>
        <w:rFonts w:cs="Times New Roman" w:ascii="Times New Roman" w:hAnsi="Times New Roman"/>
        <w:sz w:val="12"/>
      </w:rPr>
      <w:t>\\\DC - 67471/1 - #1351497 v5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sz w:val="12"/>
      </w:rPr>
    </w:pPr>
    <w:r>
      <w:rPr/>
    </w:r>
  </w:p>
  <w:p>
    <w:pPr>
      <w:pStyle w:val="Footer"/>
      <w:rPr/>
    </w:pPr>
    <w:r>
      <w:rPr>
        <w:rStyle w:val="PageNumber"/>
        <w:sz w:val="12"/>
      </w:rPr>
      <w:t>\\\DC - 67471/1 - #1351497 v5</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sz w:val="12"/>
      </w:rPr>
    </w:pPr>
    <w:r>
      <w:rPr/>
    </w:r>
  </w:p>
  <w:p>
    <w:pPr>
      <w:pStyle w:val="Footer"/>
      <w:rPr/>
    </w:pPr>
    <w:r>
      <w:rPr>
        <w:rStyle w:val="PageNumber"/>
        <w:sz w:val="12"/>
      </w:rPr>
      <w:t>\\\DC - 67471/1 - #1351497 v5</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sz w:val="12"/>
      </w:rPr>
    </w:pPr>
    <w:r>
      <w:rPr/>
    </w:r>
  </w:p>
  <w:p>
    <w:pPr>
      <w:pStyle w:val="Footer"/>
      <w:rPr/>
    </w:pPr>
    <w:r>
      <w:rPr>
        <w:rStyle w:val="PageNumber"/>
        <w:sz w:val="12"/>
      </w:rPr>
      <w:t>\\\DC - 67471/1 - #1351497 v5</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4"/>
      </w:rPr>
    </w:pPr>
    <w:r>
      <w:rPr>
        <w:sz w:val="24"/>
      </w:rPr>
    </w:r>
  </w:p>
  <w:p>
    <w:pPr>
      <w:pStyle w:val="Head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4"/>
      </w:rPr>
    </w:pPr>
    <w:r>
      <w:rPr>
        <w:sz w:val="24"/>
      </w:rPr>
    </w:r>
  </w:p>
  <w:p>
    <w:pPr>
      <w:pStyle w:val="Head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4"/>
      </w:rPr>
    </w:pPr>
    <w:r>
      <w:rPr>
        <w:sz w:val="24"/>
      </w:rPr>
    </w:r>
  </w:p>
  <w:p>
    <w:pPr>
      <w:pStyle w:val="Header"/>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4"/>
      </w:rPr>
    </w:pPr>
    <w:r>
      <w:rPr>
        <w:sz w:val="24"/>
      </w:rPr>
    </w:r>
  </w:p>
  <w:p>
    <w:pPr>
      <w:pStyle w:val="Header"/>
      <w:rPr>
        <w:sz w:val="24"/>
      </w:rPr>
    </w:pPr>
    <w:r>
      <w:rPr>
        <w:sz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u w:val="none"/>
        <w:color w:val="auto"/>
      </w:rPr>
    </w:lvl>
    <w:lvl w:ilvl="1">
      <w:start w:val="1"/>
      <w:pStyle w:val="Heading2"/>
      <w:numFmt w:val="lowerLetter"/>
      <w:lvlText w:val="(%2)"/>
      <w:lvlJc w:val="start"/>
      <w:pPr>
        <w:tabs>
          <w:tab w:val="num" w:pos="1080"/>
        </w:tabs>
        <w:ind w:start="0" w:firstLine="720"/>
      </w:pPr>
      <w:rPr>
        <w:u w:val="none"/>
        <w:color w:val="auto"/>
      </w:rPr>
    </w:lvl>
    <w:lvl w:ilvl="2">
      <w:start w:val="1"/>
      <w:pStyle w:val="Heading3"/>
      <w:numFmt w:val="decimal"/>
      <w:lvlText w:val="SECTION %3."/>
      <w:lvlJc w:val="start"/>
      <w:pPr>
        <w:tabs>
          <w:tab w:val="num" w:pos="2520"/>
        </w:tabs>
        <w:ind w:start="0" w:firstLine="720"/>
      </w:pPr>
      <w:rPr>
        <w:u w:val="none"/>
        <w:color w:val="auto"/>
      </w:rPr>
    </w:lvl>
    <w:lvl w:ilvl="3">
      <w:start w:val="1"/>
      <w:pStyle w:val="Heading4"/>
      <w:numFmt w:val="lowerLetter"/>
      <w:lvlText w:val="(%4)"/>
      <w:lvlJc w:val="start"/>
      <w:pPr>
        <w:tabs>
          <w:tab w:val="num" w:pos="1800"/>
        </w:tabs>
        <w:ind w:start="0" w:firstLine="1440"/>
      </w:pPr>
      <w:rPr>
        <w:u w:val="none"/>
        <w:color w:val="auto"/>
      </w:rPr>
    </w:lvl>
    <w:lvl w:ilvl="4">
      <w:start w:val="1"/>
      <w:pStyle w:val="Heading5"/>
      <w:numFmt w:val="lowerRoman"/>
      <w:lvlText w:val="(%5)"/>
      <w:lvlJc w:val="start"/>
      <w:pPr>
        <w:tabs>
          <w:tab w:val="num" w:pos="2160"/>
        </w:tabs>
        <w:ind w:start="0" w:firstLine="1440"/>
      </w:pPr>
      <w:rPr>
        <w:u w:val="none"/>
        <w:color w:val="auto"/>
      </w:r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
    <w:lvl w:ilvl="0">
      <w:start w:val="1"/>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ARTICLE %1. "/>
      <w:lvlJc w:val="start"/>
      <w:pPr>
        <w:tabs>
          <w:tab w:val="num" w:pos="1728"/>
        </w:tabs>
        <w:ind w:start="1728" w:hanging="1728"/>
      </w:pPr>
      <w:rPr>
        <w:smallCaps w:val="false"/>
        <w:caps w:val="false"/>
        <w:sz w:val="24"/>
        <w:i w:val="false"/>
        <w:u w:val="none"/>
        <w:b/>
        <w:rFonts w:ascii="Times New Roman Bold;Times New Roman" w:hAnsi="Times New Roman Bold;Times New Roman" w:cs="Times New Roman Bold;Times New Roman"/>
      </w:rPr>
    </w:lvl>
    <w:lvl w:ilvl="1">
      <w:start w:val="1"/>
      <w:isLgl/>
      <w:numFmt w:val="decimal"/>
      <w:lvlText w:val="Section %1.%2 "/>
      <w:lvlJc w:val="start"/>
      <w:pPr>
        <w:tabs>
          <w:tab w:val="num" w:pos="2160"/>
        </w:tabs>
        <w:ind w:start="2160" w:hanging="144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isLgl/>
      <w:numFmt w:val="decimal"/>
      <w:lvlText w:val="%1.%2.%3  "/>
      <w:lvlJc w:val="start"/>
      <w:pPr>
        <w:tabs>
          <w:tab w:val="num" w:pos="2160"/>
        </w:tabs>
        <w:ind w:start="0" w:firstLine="1440"/>
      </w:pPr>
      <w:rPr>
        <w:smallCaps w:val="false"/>
        <w:caps w:val="false"/>
        <w:sz w:val="24"/>
        <w:i w:val="false"/>
        <w:u w:val="none"/>
        <w:b w:val="false"/>
        <w:rFonts w:ascii="Times New Roman" w:hAnsi="Times New Roman" w:cs="Times New Roman"/>
        <w:color w:val="auto"/>
      </w:rPr>
    </w:lvl>
    <w:lvl w:ilvl="3">
      <w:start w:val="1"/>
      <w:isLgl/>
      <w:numFmt w:val="decimal"/>
      <w:lvlText w:val="%1.%2.%3.%4  "/>
      <w:lvlJc w:val="start"/>
      <w:pPr>
        <w:tabs>
          <w:tab w:val="num" w:pos="3240"/>
        </w:tabs>
        <w:ind w:start="0" w:firstLine="2160"/>
      </w:pPr>
      <w:rPr>
        <w:smallCaps w:val="false"/>
        <w:caps w:val="false"/>
        <w:sz w:val="24"/>
        <w:i w:val="false"/>
        <w:u w:val="none"/>
        <w:b w:val="false"/>
        <w:rFonts w:ascii="Times New Roman" w:hAnsi="Times New Roman" w:cs="Times New Roman"/>
      </w:rPr>
    </w:lvl>
    <w:lvl w:ilvl="4">
      <w:start w:val="1"/>
      <w:numFmt w:val="lowerLetter"/>
      <w:lvlText w:val="(%5)    "/>
      <w:lvlJc w:val="start"/>
      <w:pPr>
        <w:tabs>
          <w:tab w:val="num" w:pos="2160"/>
        </w:tabs>
        <w:ind w:start="0" w:firstLine="1440"/>
      </w:pPr>
      <w:rPr>
        <w:smallCaps w:val="false"/>
        <w:caps w:val="false"/>
        <w:sz w:val="24"/>
        <w:i w:val="false"/>
        <w:u w:val="none"/>
        <w:b w:val="false"/>
        <w:rFonts w:ascii="Times New Roman" w:hAnsi="Times New Roman" w:cs="Times New Roman"/>
      </w:rPr>
    </w:lvl>
    <w:lvl w:ilvl="5">
      <w:start w:val="1"/>
      <w:numFmt w:val="lowerLetter"/>
      <w:lvlText w:val="(%6)"/>
      <w:lvlJc w:val="start"/>
      <w:pPr>
        <w:tabs>
          <w:tab w:val="num" w:pos="3240"/>
        </w:tabs>
        <w:ind w:start="0" w:firstLine="2880"/>
      </w:pPr>
      <w:rPr>
        <w:smallCaps w:val="false"/>
        <w:caps w:val="false"/>
        <w:sz w:val="24"/>
        <w:i w:val="false"/>
        <w:u w:val="none"/>
        <w:b w:val="false"/>
        <w:rFonts w:ascii="Times New Roman" w:hAnsi="Times New Roman" w:cs="Times New Roman"/>
      </w:rPr>
    </w:lvl>
    <w:lvl w:ilvl="6">
      <w:start w:val="1"/>
      <w:numFmt w:val="lowerRoman"/>
      <w:lvlText w:val="(%7)"/>
      <w:lvlJc w:val="start"/>
      <w:pPr>
        <w:tabs>
          <w:tab w:val="num" w:pos="4320"/>
        </w:tabs>
        <w:ind w:start="0" w:firstLine="3600"/>
      </w:pPr>
      <w:rPr>
        <w:smallCaps w:val="false"/>
        <w:caps w:val="false"/>
        <w:sz w:val="24"/>
        <w:i w:val="false"/>
        <w:u w:val="none"/>
        <w:b w:val="false"/>
        <w:rFonts w:ascii="Times New Roman" w:hAnsi="Times New Roman" w:cs="Times New Roman"/>
      </w:rPr>
    </w:lvl>
    <w:lvl w:ilvl="7">
      <w:start w:val="1"/>
      <w:numFmt w:val="lowerLetter"/>
      <w:lvlText w:val="%8)"/>
      <w:lvlJc w:val="start"/>
      <w:pPr>
        <w:tabs>
          <w:tab w:val="num" w:pos="5040"/>
        </w:tabs>
        <w:ind w:start="0" w:firstLine="4320"/>
      </w:pPr>
      <w:rPr>
        <w:smallCaps w:val="false"/>
        <w:caps w:val="false"/>
        <w:sz w:val="24"/>
        <w:i w:val="false"/>
        <w:u w:val="none"/>
        <w:b w:val="false"/>
        <w:rFonts w:ascii="Times New Roman" w:hAnsi="Times New Roman" w:cs="Times New Roman"/>
      </w:rPr>
    </w:lvl>
    <w:lvl w:ilvl="8">
      <w:start w:val="1"/>
      <w:numFmt w:val="lowerRoman"/>
      <w:lvlText w:val="%9)"/>
      <w:lvlJc w:val="start"/>
      <w:pPr>
        <w:tabs>
          <w:tab w:val="num" w:pos="5760"/>
        </w:tabs>
        <w:ind w:start="0" w:firstLine="5040"/>
      </w:pPr>
      <w:rPr>
        <w:smallCaps w:val="false"/>
        <w:caps w:val="false"/>
        <w:sz w:val="24"/>
        <w:i w:val="false"/>
        <w:u w:val="none"/>
        <w:b w:val="false"/>
        <w:rFonts w:ascii="Times New Roman" w:hAnsi="Times New Roman" w:cs="Times New Roman"/>
      </w:rPr>
    </w:lvl>
  </w:abstractNum>
  <w:abstractNum w:abstractNumId="4">
    <w:lvl w:ilvl="0">
      <w:start w:val="2"/>
      <w:numFmt w:val="decimal"/>
      <w:lvlText w:val="%1."/>
      <w:lvlJc w:val="start"/>
      <w:pPr>
        <w:tabs>
          <w:tab w:val="num" w:pos="720"/>
        </w:tabs>
        <w:ind w:start="720" w:hanging="72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lowerLetter"/>
      <w:lvlText w:val="(%1)"/>
      <w:lvlJc w:val="start"/>
      <w:pPr>
        <w:tabs>
          <w:tab w:val="num" w:pos="1080"/>
        </w:tabs>
        <w:ind w:start="0" w:firstLine="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entury Schoolbook" w:hAnsi="Century Schoolbook" w:eastAsia="Times New Roman" w:cs="Century Schoolbook"/>
      <w:color w:val="auto"/>
      <w:sz w:val="25"/>
      <w:szCs w:val="20"/>
      <w:lang w:val="en-US" w:eastAsia="zh-CN" w:bidi="hi-IN"/>
    </w:rPr>
  </w:style>
  <w:style w:type="paragraph" w:styleId="Heading1">
    <w:name w:val="heading 1"/>
    <w:basedOn w:val="Normal"/>
    <w:next w:val="Normal"/>
    <w:qFormat/>
    <w:pPr>
      <w:numPr>
        <w:ilvl w:val="0"/>
        <w:numId w:val="1"/>
      </w:numPr>
      <w:spacing w:before="0" w:after="240"/>
      <w:outlineLvl w:val="0"/>
    </w:pPr>
    <w:rPr>
      <w:sz w:val="24"/>
    </w:rPr>
  </w:style>
  <w:style w:type="paragraph" w:styleId="Heading2">
    <w:name w:val="heading 2"/>
    <w:basedOn w:val="Normal"/>
    <w:next w:val="Normal"/>
    <w:qFormat/>
    <w:pPr>
      <w:numPr>
        <w:ilvl w:val="1"/>
        <w:numId w:val="1"/>
      </w:numPr>
      <w:spacing w:before="0" w:after="240"/>
      <w:outlineLvl w:val="1"/>
    </w:pPr>
    <w:rPr/>
  </w:style>
  <w:style w:type="paragraph" w:styleId="Heading3">
    <w:name w:val="heading 3"/>
    <w:basedOn w:val="Normal"/>
    <w:next w:val="Normal"/>
    <w:qFormat/>
    <w:pPr>
      <w:numPr>
        <w:ilvl w:val="2"/>
        <w:numId w:val="1"/>
      </w:numPr>
      <w:spacing w:before="0" w:after="240"/>
      <w:outlineLvl w:val="2"/>
    </w:pPr>
    <w:rPr/>
  </w:style>
  <w:style w:type="paragraph" w:styleId="Heading4">
    <w:name w:val="heading 4"/>
    <w:basedOn w:val="Normal"/>
    <w:next w:val="Normal"/>
    <w:qFormat/>
    <w:pPr>
      <w:numPr>
        <w:ilvl w:val="3"/>
        <w:numId w:val="1"/>
      </w:numPr>
      <w:spacing w:before="0" w:after="240"/>
      <w:outlineLvl w:val="3"/>
    </w:pPr>
    <w:rPr/>
  </w:style>
  <w:style w:type="paragraph" w:styleId="Heading5">
    <w:name w:val="heading 5"/>
    <w:basedOn w:val="Normal"/>
    <w:next w:val="Normal"/>
    <w:qFormat/>
    <w:pPr>
      <w:numPr>
        <w:ilvl w:val="4"/>
        <w:numId w:val="1"/>
      </w:numPr>
      <w:spacing w:before="0" w:after="240"/>
      <w:outlineLvl w:val="4"/>
    </w:pPr>
    <w:rPr/>
  </w:style>
  <w:style w:type="paragraph" w:styleId="Heading6">
    <w:name w:val="heading 6"/>
    <w:basedOn w:val="Normal"/>
    <w:next w:val="Normal"/>
    <w:qFormat/>
    <w:pPr>
      <w:numPr>
        <w:ilvl w:val="0"/>
        <w:numId w:val="3"/>
      </w:numPr>
      <w:tabs>
        <w:tab w:val="clear" w:pos="720"/>
      </w:tabs>
      <w:outlineLvl w:val="5"/>
    </w:pPr>
    <w:rPr/>
  </w:style>
  <w:style w:type="paragraph" w:styleId="Heading7">
    <w:name w:val="heading 7"/>
    <w:basedOn w:val="Normal"/>
    <w:next w:val="Normal"/>
    <w:qFormat/>
    <w:pPr>
      <w:numPr>
        <w:ilvl w:val="0"/>
        <w:numId w:val="4"/>
      </w:numPr>
      <w:outlineLvl w:val="6"/>
    </w:pPr>
    <w:rPr/>
  </w:style>
  <w:style w:type="paragraph" w:styleId="Heading8">
    <w:name w:val="heading 8"/>
    <w:basedOn w:val="Normal"/>
    <w:next w:val="Normal"/>
    <w:qFormat/>
    <w:pPr>
      <w:numPr>
        <w:ilvl w:val="0"/>
        <w:numId w:val="2"/>
      </w:numPr>
      <w:outlineLvl w:val="7"/>
    </w:pPr>
    <w:rPr/>
  </w:style>
  <w:style w:type="paragraph" w:styleId="Heading9">
    <w:name w:val="heading 9"/>
    <w:basedOn w:val="Normal"/>
    <w:next w:val="Normal"/>
    <w:qFormat/>
    <w:pPr>
      <w:numPr>
        <w:ilvl w:val="0"/>
        <w:numId w:val="5"/>
      </w:numPr>
      <w:outlineLvl w:val="8"/>
    </w:pPr>
    <w:rPr/>
  </w:style>
  <w:style w:type="character" w:styleId="WW8Num2z0">
    <w:name w:val="WW8Num2z0"/>
    <w:qFormat/>
    <w:rPr/>
  </w:style>
  <w:style w:type="character" w:styleId="WW8Num3z0">
    <w:name w:val="WW8Num3z0"/>
    <w:qFormat/>
    <w:rPr>
      <w:rFonts w:ascii="Times New Roman Bold;Times New Roman" w:hAnsi="Times New Roman Bold;Times New Roman" w:cs="Times New Roman Bold;Times New Roman"/>
      <w:b/>
      <w:i w:val="false"/>
      <w:caps w:val="false"/>
      <w:smallCaps w:val="false"/>
      <w:sz w:val="24"/>
      <w:u w:val="none"/>
    </w:rPr>
  </w:style>
  <w:style w:type="character" w:styleId="WW8Num3z1">
    <w:name w:val="WW8Num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3z2">
    <w:name w:val="WW8Num3z2"/>
    <w:qFormat/>
    <w:rPr>
      <w:rFonts w:ascii="Times New Roman" w:hAnsi="Times New Roman" w:cs="Times New Roman"/>
      <w:b w:val="false"/>
      <w:i w:val="false"/>
      <w:caps w:val="false"/>
      <w:smallCaps w:val="false"/>
      <w:color w:val="auto"/>
      <w:sz w:val="24"/>
      <w:u w:val="none"/>
    </w:rPr>
  </w:style>
  <w:style w:type="character" w:styleId="WW8Num3z3">
    <w:name w:val="WW8Num3z3"/>
    <w:qFormat/>
    <w:rPr>
      <w:rFonts w:ascii="Times New Roman" w:hAnsi="Times New Roman" w:cs="Times New Roman"/>
      <w:b w:val="false"/>
      <w:i w:val="false"/>
      <w:caps w:val="false"/>
      <w:smallCaps w:val="false"/>
      <w:sz w:val="24"/>
      <w:u w:val="none"/>
    </w:rPr>
  </w:style>
  <w:style w:type="character" w:styleId="WW8Num4z0">
    <w:name w:val="WW8Num4z0"/>
    <w:qFormat/>
    <w:rPr/>
  </w:style>
  <w:style w:type="character" w:styleId="WW8Num5z0">
    <w:name w:val="WW8Num5z0"/>
    <w:qFormat/>
    <w:rPr>
      <w:color w:val="auto"/>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color w:val="000000"/>
    </w:rPr>
  </w:style>
  <w:style w:type="character" w:styleId="WW8Num12z0">
    <w:name w:val="WW8Num12z0"/>
    <w:qFormat/>
    <w:rPr/>
  </w:style>
  <w:style w:type="character" w:styleId="WW8Num14z0">
    <w:name w:val="WW8Num1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pPr>
    <w:rPr>
      <w:caps/>
    </w:rPr>
  </w:style>
  <w:style w:type="paragraph" w:styleId="BodyText">
    <w:name w:val="Body Text"/>
    <w:basedOn w:val="Normal"/>
    <w:pPr>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FirstIndent">
    <w:name w:val="Body Text First Indent"/>
    <w:basedOn w:val="BodyText"/>
    <w:qFormat/>
    <w:pPr>
      <w:ind w:firstLine="720" w:start="0" w:end="0"/>
    </w:pPr>
    <w:rPr/>
  </w:style>
  <w:style w:type="paragraph" w:styleId="Signature">
    <w:name w:val="Signature"/>
    <w:basedOn w:val="Normal"/>
    <w:pPr>
      <w:spacing w:before="0" w:after="240"/>
      <w:ind w:hanging="0" w:start="4320" w:end="0"/>
    </w:pPr>
    <w:rPr/>
  </w:style>
  <w:style w:type="paragraph" w:styleId="BodyTextIndent">
    <w:name w:val="Body Text Indent"/>
    <w:basedOn w:val="BodyText"/>
    <w:pPr>
      <w:ind w:hanging="0" w:start="1440" w:end="0"/>
    </w:pPr>
    <w:rPr/>
  </w:style>
  <w:style w:type="paragraph" w:styleId="BodyTexthanging">
    <w:name w:val="Body Text hanging"/>
    <w:basedOn w:val="BodyText"/>
    <w:qFormat/>
    <w:pPr>
      <w:ind w:hanging="720" w:start="720" w:end="0"/>
      <w:jc w:val="both"/>
    </w:pPr>
    <w:rPr/>
  </w:style>
  <w:style w:type="paragraph" w:styleId="BodyTextIndent2">
    <w:name w:val="Body Text Indent 2"/>
    <w:basedOn w:val="Normal"/>
    <w:qFormat/>
    <w:pPr>
      <w:ind w:hanging="0" w:start="2880" w:end="0"/>
    </w:pPr>
    <w:rPr>
      <w:rFonts w:ascii="Times New Roman" w:hAnsi="Times New Roman" w:cs="Times New Roman"/>
      <w:sz w:val="24"/>
    </w:rPr>
  </w:style>
  <w:style w:type="paragraph" w:styleId="BodyTextIndent3">
    <w:name w:val="Body Text Indent 3"/>
    <w:basedOn w:val="Normal"/>
    <w:qFormat/>
    <w:pPr>
      <w:spacing w:before="0" w:after="240"/>
      <w:ind w:firstLine="720" w:start="0" w:end="0"/>
    </w:pPr>
    <w:rPr>
      <w:rFonts w:ascii="Times New Roman" w:hAnsi="Times New Roman" w:cs="Times New Roman"/>
      <w:sz w:val="24"/>
    </w:rPr>
  </w:style>
  <w:style w:type="paragraph" w:styleId="c3">
    <w:name w:val="c3"/>
    <w:basedOn w:val="Normal"/>
    <w:qFormat/>
    <w:pPr>
      <w:spacing w:lineRule="atLeast" w:line="240"/>
      <w:jc w:val="center"/>
    </w:pPr>
    <w:rPr>
      <w:rFonts w:ascii="Times New Roman" w:hAnsi="Times New Roman" w:cs="Times New Roman"/>
      <w:sz w:val="24"/>
      <w:lang w:eastAsia="en-US"/>
    </w:rPr>
  </w:style>
  <w:style w:type="paragraph" w:styleId="t1">
    <w:name w:val="t1"/>
    <w:basedOn w:val="Normal"/>
    <w:qFormat/>
    <w:pPr>
      <w:spacing w:lineRule="atLeast" w:line="240"/>
    </w:pPr>
    <w:rPr>
      <w:rFonts w:ascii="Times New Roman" w:hAnsi="Times New Roman" w:cs="Times New Roman"/>
      <w:sz w:val="24"/>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2001-06-29T17:54:00Z</dcterms:created>
  <dc:creator>LeBoeuf, Lamb, Greene &amp; MacRae, L.L.P.</dc:creator>
  <dc:description/>
  <cp:keywords>NYC 385027.3 24571 00795 6/27/2001  10:29 PM</cp:keywords>
  <dc:language>en-CA</dc:language>
  <cp:lastModifiedBy>Pender, Robert B.</cp:lastModifiedBy>
  <cp:lastPrinted>2001-06-29T16:26:00Z</cp:lastPrinted>
  <dcterms:modified xsi:type="dcterms:W3CDTF">2001-06-29T17:56:00Z</dcterms:modified>
  <cp:revision>4</cp:revision>
  <dc:subject/>
  <dc:title>Heading 1</dc:title>
</cp:coreProperties>
</file>