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Enron submits white paper offering Calif. solutions</w:t>
      </w:r>
      <w:r>
        <w:rPr/>
        <w:br/>
        <w:t xml:space="preserve">  </w:t>
        <w:br/>
        <w:t xml:space="preserve">10/30/2000 </w:t>
        <w:br/>
        <w:t xml:space="preserve">The Energy Report </w:t>
        <w:br/>
        <w:t xml:space="preserve">(c) Copyright 2000 Pasha Publications, Inc. All Rights Reserved. </w:t>
      </w:r>
    </w:p>
    <w:p>
      <w:pPr>
        <w:pStyle w:val="NormalWeb"/>
        <w:rPr/>
      </w:pPr>
      <w:r>
        <w:rPr/>
        <w:t xml:space="preserve">Enron Power Marketing and Enron Energy Services commissioned a white paper, which they have presented to FERC, outlining a series of steps they suggest will lead to competitive markets in California. </w:t>
      </w:r>
    </w:p>
    <w:p>
      <w:pPr>
        <w:pStyle w:val="NormalWeb"/>
        <w:rPr/>
      </w:pPr>
      <w:r>
        <w:rPr/>
        <w:t xml:space="preserve">"We believe that competitive markets can work in California, and in the short run. They only need to be given a real chance to work," Enron says in a commentary accompanying the white paper, both of which were filed late on Oct. 20 in response to six proceedings over the volatility in California's wholesale power markets. </w:t>
      </w:r>
    </w:p>
    <w:p>
      <w:pPr>
        <w:pStyle w:val="NormalWeb"/>
        <w:rPr/>
      </w:pPr>
      <w:r>
        <w:rPr/>
        <w:t xml:space="preserve">"The time has therefore come, we believe for the commission to take greater control of the direction of the restructuring effort in California by using its plenary powers under Section 309 [of the Federal Power Act] to allow a forwards market to develop in California and by making it unmistakably clear to the state that it must reform the market design flaws and perverse incentives that are embedded in the California model, and to allow for the flowering of a truly competitive market in the state." </w:t>
      </w:r>
    </w:p>
    <w:p>
      <w:pPr>
        <w:pStyle w:val="NormalWeb"/>
        <w:rPr/>
      </w:pPr>
      <w:r>
        <w:rPr/>
        <w:t xml:space="preserve">The white paper makes three recommendations for fundamental reform in California's market structure. In summary, they are: </w:t>
      </w:r>
    </w:p>
    <w:p>
      <w:pPr>
        <w:pStyle w:val="NormalWeb"/>
        <w:rPr/>
      </w:pPr>
      <w:r>
        <w:rPr/>
        <w:t xml:space="preserve">** Forward markets. "Shift the emphasis from spot market procurement to the operation of a complete market, incorporating both forwards and spot markets. Doing so will increase the competitiveness of all markets and eliminate the present situation where all price risks are allocated to customers." </w:t>
      </w:r>
    </w:p>
    <w:p>
      <w:pPr>
        <w:pStyle w:val="NormalWeb"/>
        <w:rPr/>
      </w:pPr>
      <w:r>
        <w:rPr/>
        <w:t xml:space="preserve">** Retail competition. "Remove the distortions on market prices that discourage investment and prevent customers' economic preferences from being reflected in market prices. The wholesale market structure cannot succeed until the retail market in functioning." </w:t>
      </w:r>
    </w:p>
    <w:p>
      <w:pPr>
        <w:pStyle w:val="NormalWeb"/>
        <w:rPr/>
      </w:pPr>
      <w:r>
        <w:rPr/>
        <w:t xml:space="preserve">** Information transparency. "Allow more openness in information flows in the market, which is critical for efficiency and market transparency. The processes of ISO and PX governance should also be reviewed." </w:t>
      </w:r>
    </w:p>
    <w:p>
      <w:pPr>
        <w:pStyle w:val="NormalWeb"/>
        <w:rPr/>
      </w:pPr>
      <w:r>
        <w:rPr/>
        <w:t xml:space="preserve">The authors say California has gone too far to retreat. "Having stepped off the dock, California cannot afford to have only one foot on the boat," they say. "A halfway point between the old forms of regulation and a market is likely to be far worse than either." </w:t>
      </w:r>
    </w:p>
    <w:p>
      <w:pPr>
        <w:pStyle w:val="NormalWeb"/>
        <w:rPr/>
      </w:pPr>
      <w:r>
        <w:rPr/>
        <w:t xml:space="preserve">Their recommendation is to get on board and sail off. Permitting the use of forward contracts is necessary, they say. They describe how state legislation inaugurating a restructured market led the state Public Utilities Commission to require utilities to arrange for nearly all of their daily power needs through the Cal-PX and its day-ahead market. This year, utilities underscheduled requirements from the PX to rely on the Cal-ISO's spot markets. </w:t>
      </w:r>
    </w:p>
    <w:p>
      <w:pPr>
        <w:pStyle w:val="NormalWeb"/>
        <w:rPr/>
      </w:pPr>
      <w:r>
        <w:rPr/>
        <w:t xml:space="preserve">In contrast, they note that in England and Wales (a single power pool) and in Australia, up to 90% of requirements are fulfilled through forward contracts. FERC, they said, could set a framework through which power purchases could be made for a utility's default customers in a competitive market. </w:t>
      </w:r>
    </w:p>
    <w:p>
      <w:pPr>
        <w:pStyle w:val="NormalWeb"/>
        <w:rPr/>
      </w:pPr>
      <w:r>
        <w:rPr/>
        <w:t xml:space="preserve">FERC should also step in to discourage continued use of price caps, falling back on bid caps or other contractual mechanisms only if absolutely necessary. </w:t>
      </w:r>
    </w:p>
    <w:p>
      <w:pPr>
        <w:pStyle w:val="NormalWeb"/>
        <w:rPr/>
      </w:pPr>
      <w:r>
        <w:rPr/>
        <w:t xml:space="preserve">The authors also recommend broad changes in the governance of both the Cal-ISO and Cal-PX, saying they are now too influenced by utilities and local politics. They suggested the approach proposed by RTO West, which they say maintains board independence while involving stakeholders. </w:t>
      </w:r>
    </w:p>
    <w:p>
      <w:pPr>
        <w:pStyle w:val="NormalWeb"/>
        <w:rPr/>
      </w:pPr>
      <w:r>
        <w:rPr/>
        <w:t xml:space="preserve">The white paper was prepared by Seabron Adamson, president of Frontier Economics, and Carl Imparato, senior associate at Tabors, Caramanis &amp; Associates. </w:t>
      </w:r>
    </w:p>
    <w:p>
      <w:pPr>
        <w:pStyle w:val="NormalWeb"/>
        <w:rPr/>
      </w:pPr>
      <w:r>
        <w:rPr/>
        <w:t xml:space="preserve">Adamson was involved in the initial creation of the California Independent System Operator (Cal-ISO) and California Power Exchange (Cal-PX) and has worked with clients in other parts of the United States regarding ISO issues. He's also been closely involved with the development of competitive power markets in Alberta and Ontario. Imparato has participated in collaborative efforts leading to the formation of the Cal-ISO and several other regional transmission organizations in the western United States since 1997.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2000-11-02T13:24:00Z</dcterms:created>
  <dc:creator>mbuster</dc:creator>
  <dc:description/>
  <dc:language>en-CA</dc:language>
  <cp:lastModifiedBy>mbuster</cp:lastModifiedBy>
  <dcterms:modified xsi:type="dcterms:W3CDTF">2000-11-02T13:27:00Z</dcterms:modified>
  <cp:revision>1</cp:revision>
  <dc:subject/>
  <dc:title>Enron submits white paper offering Calif</dc:title>
</cp:coreProperties>
</file>