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r>
    </w:p>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t>Tokyo Aoyama Law Office</w:t>
      </w:r>
    </w:p>
    <w:p>
      <w:pPr>
        <w:pStyle w:val="TALOMemo"/>
        <w:tabs>
          <w:tab w:val="clear" w:pos="4680"/>
          <w:tab w:val="left" w:pos="-720" w:leader="none"/>
        </w:tabs>
        <w:spacing w:lineRule="auto" w:line="240" w:before="20" w:after="0"/>
        <w:jc w:val="center"/>
        <w:rPr/>
      </w:pPr>
      <w:r>
        <w:rPr/>
        <w:t>ATTORNEYS AT LAW</w:t>
      </w:r>
    </w:p>
    <w:p>
      <w:pPr>
        <w:pStyle w:val="TALOMemo"/>
        <w:tabs>
          <w:tab w:val="clear" w:pos="4680"/>
          <w:tab w:val="left" w:pos="-720" w:leader="none"/>
        </w:tabs>
        <w:spacing w:lineRule="auto" w:line="240" w:before="20" w:after="0"/>
        <w:jc w:val="center"/>
        <w:rPr>
          <w:sz w:val="16"/>
        </w:rPr>
      </w:pPr>
      <w:r>
        <w:rPr>
          <w:sz w:val="16"/>
        </w:rPr>
      </w:r>
    </w:p>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t>Baker &amp; McKenzie</w:t>
      </w:r>
    </w:p>
    <w:p>
      <w:pPr>
        <w:pStyle w:val="TALOMemo"/>
        <w:tabs>
          <w:tab w:val="clear" w:pos="4680"/>
          <w:tab w:val="left" w:pos="-720" w:leader="none"/>
        </w:tabs>
        <w:spacing w:lineRule="auto" w:line="240" w:before="20" w:after="0"/>
        <w:jc w:val="center"/>
        <w:rPr/>
      </w:pPr>
      <w:r>
        <w:rPr/>
        <w:t>ATTORNEY AT FOREIGN LAW OFFICE</w:t>
      </w:r>
    </w:p>
    <w:p>
      <w:pPr>
        <w:pStyle w:val="TALOMemo"/>
        <w:tabs>
          <w:tab w:val="clear" w:pos="4680"/>
          <w:tab w:val="left" w:pos="-720" w:leader="none"/>
        </w:tabs>
        <w:spacing w:lineRule="auto" w:line="240" w:before="20" w:after="0"/>
        <w:jc w:val="center"/>
        <w:rPr>
          <w:sz w:val="16"/>
        </w:rPr>
      </w:pPr>
      <w:r>
        <w:rPr>
          <w:sz w:val="16"/>
        </w:rPr>
      </w:r>
    </w:p>
    <w:p>
      <w:pPr>
        <w:pStyle w:val="TALOMemo"/>
        <w:tabs>
          <w:tab w:val="clear" w:pos="4680"/>
        </w:tabs>
        <w:spacing w:lineRule="auto" w:line="240" w:before="20" w:after="0"/>
        <w:jc w:val="center"/>
        <w:rPr>
          <w:sz w:val="24"/>
        </w:rPr>
      </w:pPr>
      <w:r>
        <w:rPr/>
        <w:t>QUALIFIED JOINT ENTERPRISE OFFICES</w:t>
      </w:r>
    </w:p>
    <w:p>
      <w:pPr>
        <w:pStyle w:val="TALOMemo"/>
        <w:tabs>
          <w:tab w:val="clear" w:pos="4680"/>
          <w:tab w:val="left" w:pos="-720" w:leader="none"/>
        </w:tabs>
        <w:spacing w:lineRule="auto" w:line="240"/>
        <w:jc w:val="center"/>
        <w:rPr>
          <w:sz w:val="20"/>
        </w:rPr>
      </w:pPr>
      <w:r>
        <w:rPr>
          <w:sz w:val="20"/>
        </w:rPr>
      </w:r>
    </w:p>
    <w:p>
      <w:pPr>
        <w:pStyle w:val="TALOMemo"/>
        <w:tabs>
          <w:tab w:val="clear" w:pos="4680"/>
        </w:tabs>
        <w:spacing w:lineRule="auto" w:line="240"/>
        <w:jc w:val="center"/>
        <w:rPr>
          <w:sz w:val="24"/>
        </w:rPr>
      </w:pPr>
      <w:r>
        <w:rPr>
          <w:sz w:val="24"/>
        </w:rPr>
        <w:t>MEMORANDUM</w:t>
      </w:r>
    </w:p>
    <w:p>
      <w:pPr>
        <w:pStyle w:val="TALOMemo"/>
        <w:tabs>
          <w:tab w:val="clear" w:pos="4680"/>
          <w:tab w:val="left" w:pos="-720" w:leader="none"/>
        </w:tabs>
        <w:spacing w:lineRule="auto" w:line="240"/>
        <w:rPr>
          <w:rFonts w:ascii="CG Times (W1);Times New Roman" w:hAnsi="CG Times (W1);Times New Roman" w:cs="CG Times (W1);Times New Roman"/>
          <w:b/>
          <w:sz w:val="24"/>
          <w:u w:val="single"/>
          <w:lang w:eastAsia="ja-JP"/>
        </w:rPr>
      </w:pPr>
      <w:r>
        <w:rPr>
          <w:rFonts w:cs="CG Times (W1);Times New Roman" w:ascii="CG Times (W1);Times New Roman" w:hAnsi="CG Times (W1);Times New Roman"/>
          <w:b/>
          <w:sz w:val="24"/>
          <w:u w:val="single"/>
          <w:lang w:eastAsia="ja-JP"/>
        </w:rPr>
      </w:r>
    </w:p>
    <w:p>
      <w:pPr>
        <w:pStyle w:val="TALOMemo"/>
        <w:tabs>
          <w:tab w:val="clear" w:pos="4680"/>
          <w:tab w:val="left" w:pos="-720" w:leader="none"/>
          <w:tab w:val="left" w:pos="0" w:leader="none"/>
          <w:tab w:val="left" w:pos="720" w:leader="none"/>
        </w:tabs>
        <w:spacing w:lineRule="auto" w:line="240"/>
        <w:ind w:hanging="1440" w:start="1440" w:end="0"/>
        <w:rPr>
          <w:rFonts w:ascii="CG Times (W1);Times New Roman" w:hAnsi="CG Times (W1);Times New Roman" w:cs="CG Times (W1);Times New Roman"/>
          <w:b/>
          <w:sz w:val="24"/>
          <w:u w:val="single"/>
          <w:lang w:eastAsia="ja-JP"/>
        </w:rPr>
      </w:pPr>
      <w:r>
        <w:rPr>
          <w:rFonts w:cs="CG Times (W1);Times New Roman" w:ascii="CG Times (W1);Times New Roman" w:hAnsi="CG Times (W1);Times New Roman"/>
          <w:b/>
          <w:sz w:val="24"/>
          <w:u w:val="single"/>
          <w:lang w:eastAsia="ja-JP"/>
        </w:rPr>
      </w:r>
    </w:p>
    <w:p>
      <w:pPr>
        <w:pStyle w:val="TALOMemo"/>
        <w:tabs>
          <w:tab w:val="clear" w:pos="4680"/>
          <w:tab w:val="left" w:pos="-720" w:leader="none"/>
          <w:tab w:val="left" w:pos="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b/>
          <w:sz w:val="24"/>
        </w:rPr>
        <w:t>TO:</w:t>
      </w:r>
      <w:r>
        <w:rPr>
          <w:rFonts w:cs="CG Times (W1);Times New Roman" w:ascii="CG Times (W1);Times New Roman" w:hAnsi="CG Times (W1);Times New Roman"/>
          <w:sz w:val="24"/>
        </w:rPr>
        <w:tab/>
        <w:t>Susan Musch</w:t>
      </w:r>
      <w:r>
        <w:rPr>
          <w:rFonts w:cs="CG Times (W1);Times New Roman" w:ascii="CG Times (W1);Times New Roman" w:hAnsi="CG Times (W1);Times New Roman"/>
          <w:sz w:val="24"/>
          <w:lang w:eastAsia="ja-JP"/>
        </w:rPr>
        <w:t xml:space="preserve"> </w:t>
      </w:r>
      <w:r>
        <w:rPr>
          <w:rFonts w:cs="CG Times (W1);Times New Roman" w:ascii="CG Times (W1);Times New Roman" w:hAnsi="CG Times (W1);Times New Roman"/>
          <w:sz w:val="24"/>
        </w:rPr>
        <w:t>– Enron</w:t>
      </w:r>
    </w:p>
    <w:p>
      <w:pPr>
        <w:pStyle w:val="TALOMemo"/>
        <w:tabs>
          <w:tab w:val="clear" w:pos="4680"/>
          <w:tab w:val="left" w:pos="-720" w:leader="none"/>
          <w:tab w:val="left" w:pos="0" w:leader="none"/>
        </w:tabs>
        <w:spacing w:lineRule="auto" w:line="240"/>
        <w:ind w:hanging="1440" w:start="1440" w:end="0"/>
        <w:rPr/>
      </w:pPr>
      <w:r>
        <w:rPr>
          <w:rFonts w:cs="CG Times (W1);Times New Roman" w:ascii="CG Times (W1);Times New Roman" w:hAnsi="CG Times (W1);Times New Roman"/>
          <w:b/>
          <w:sz w:val="24"/>
          <w:lang w:eastAsia="ja-JP"/>
        </w:rPr>
        <w:tab/>
      </w:r>
      <w:r>
        <w:rPr>
          <w:rFonts w:cs="CG Times (W1);Times New Roman" w:ascii="CG Times (W1);Times New Roman" w:hAnsi="CG Times (W1);Times New Roman"/>
          <w:sz w:val="24"/>
          <w:lang w:eastAsia="ja-JP"/>
        </w:rPr>
        <w:t xml:space="preserve">Jane McBride </w:t>
      </w:r>
      <w:r>
        <w:rPr>
          <w:rFonts w:cs="CG Times (W1);Times New Roman" w:ascii="CG Times (W1);Times New Roman" w:hAnsi="CG Times (W1);Times New Roman"/>
          <w:sz w:val="24"/>
          <w:lang w:eastAsia="ja-JP"/>
        </w:rPr>
        <w:t>–</w:t>
      </w:r>
      <w:r>
        <w:rPr>
          <w:rFonts w:cs="CG Times (W1);Times New Roman" w:ascii="CG Times (W1);Times New Roman" w:hAnsi="CG Times (W1);Times New Roman"/>
          <w:sz w:val="24"/>
          <w:lang w:eastAsia="ja-JP"/>
        </w:rPr>
        <w:t xml:space="preserve"> Enron Japan</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sz w:val="24"/>
          <w:lang w:eastAsia="ja-JP"/>
        </w:rPr>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CC:</w:t>
      </w:r>
      <w:r>
        <w:rPr>
          <w:rFonts w:cs="CG Times (W1);Times New Roman" w:ascii="CG Times (W1);Times New Roman" w:hAnsi="CG Times (W1);Times New Roman"/>
          <w:sz w:val="24"/>
        </w:rPr>
        <w:tab/>
        <w:t>Paul Davis</w:t>
      </w:r>
      <w:r>
        <w:rPr>
          <w:rFonts w:cs="CG Times (W1);Times New Roman" w:ascii="CG Times (W1);Times New Roman" w:hAnsi="CG Times (W1);Times New Roman"/>
          <w:sz w:val="24"/>
          <w:lang w:eastAsia="ja-JP"/>
        </w:rPr>
        <w:t xml:space="preserve"> </w:t>
      </w:r>
      <w:r>
        <w:rPr>
          <w:rFonts w:cs="CG Times (W1);Times New Roman" w:ascii="CG Times (W1);Times New Roman" w:hAnsi="CG Times (W1);Times New Roman"/>
          <w:sz w:val="24"/>
        </w:rPr>
        <w:t xml:space="preserve">– BM </w:t>
      </w:r>
      <w:r>
        <w:rPr>
          <w:rFonts w:cs="CG Times (W1);Times New Roman" w:ascii="CG Times (W1);Times New Roman" w:hAnsi="CG Times (W1);Times New Roman"/>
          <w:sz w:val="24"/>
          <w:lang w:eastAsia="ja-JP"/>
        </w:rPr>
        <w:t>Tokyo</w:t>
      </w:r>
      <w:r>
        <w:rPr>
          <w:rFonts w:cs="CG Times (W1);Times New Roman" w:ascii="CG Times (W1);Times New Roman" w:hAnsi="CG Times (W1);Times New Roman"/>
          <w:sz w:val="24"/>
        </w:rPr>
        <w:t xml:space="preserve"> </w:t>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sz w:val="24"/>
          <w:lang w:eastAsia="ja-JP"/>
        </w:rPr>
        <w:tab/>
        <w:t xml:space="preserve">Jeremy Pitts </w:t>
      </w:r>
      <w:r>
        <w:rPr>
          <w:rFonts w:cs="CG Times (W1);Times New Roman" w:ascii="CG Times (W1);Times New Roman" w:hAnsi="CG Times (W1);Times New Roman"/>
          <w:sz w:val="24"/>
          <w:lang w:eastAsia="ja-JP"/>
        </w:rPr>
        <w:t>–</w:t>
      </w:r>
      <w:r>
        <w:rPr>
          <w:rFonts w:cs="CG Times (W1);Times New Roman" w:ascii="CG Times (W1);Times New Roman" w:hAnsi="CG Times (W1);Times New Roman"/>
          <w:sz w:val="24"/>
          <w:lang w:eastAsia="ja-JP"/>
        </w:rPr>
        <w:t xml:space="preserve"> BM Tokyo</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sz w:val="24"/>
          <w:lang w:eastAsia="ja-JP"/>
        </w:rPr>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b/>
          <w:sz w:val="24"/>
        </w:rPr>
        <w:t>FROM:</w:t>
      </w:r>
      <w:r>
        <w:rPr>
          <w:rFonts w:cs="CG Times (W1);Times New Roman" w:ascii="CG Times (W1);Times New Roman" w:hAnsi="CG Times (W1);Times New Roman"/>
          <w:sz w:val="24"/>
        </w:rPr>
        <w:tab/>
      </w:r>
      <w:r>
        <w:rPr>
          <w:rFonts w:cs="CG Times (W1);Times New Roman" w:ascii="CG Times (W1);Times New Roman" w:hAnsi="CG Times (W1);Times New Roman"/>
          <w:sz w:val="24"/>
          <w:lang w:eastAsia="ja-JP"/>
        </w:rPr>
        <w:t>Yukinori Watanabe/</w:t>
      </w:r>
      <w:r>
        <w:rPr>
          <w:rFonts w:cs="CG Times (W1);Times New Roman" w:ascii="CG Times (W1);Times New Roman" w:hAnsi="CG Times (W1);Times New Roman"/>
          <w:sz w:val="24"/>
        </w:rPr>
        <w:t>Ed Whatley</w:t>
      </w:r>
      <w:r>
        <w:rPr>
          <w:rStyle w:val="FootnoteCharacters"/>
          <w:rStyle w:val="FootnoteReference"/>
          <w:rFonts w:eastAsia="Symbol" w:cs="Symbol" w:ascii="Symbol" w:hAnsi="Symbol"/>
        </w:rPr>
        <w:footnoteReference w:customMarkFollows="1" w:id="2"/>
        <w:t></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sz w:val="24"/>
          <w:lang w:eastAsia="ja-JP"/>
        </w:rPr>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b/>
          <w:sz w:val="24"/>
        </w:rPr>
        <w:t>DATE:</w:t>
      </w:r>
      <w:r>
        <w:rPr>
          <w:rFonts w:cs="CG Times (W1);Times New Roman" w:ascii="CG Times (W1);Times New Roman" w:hAnsi="CG Times (W1);Times New Roman"/>
          <w:sz w:val="24"/>
        </w:rPr>
        <w:tab/>
      </w:r>
      <w:r>
        <w:rPr>
          <w:rFonts w:cs="CG Times (W1);Times New Roman" w:ascii="CG Times (W1);Times New Roman" w:hAnsi="CG Times (W1);Times New Roman"/>
          <w:sz w:val="24"/>
          <w:lang w:eastAsia="ja-JP"/>
        </w:rPr>
        <w:t>February 23, 2001</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lang w:eastAsia="ja-JP"/>
        </w:rPr>
      </w:pPr>
      <w:r>
        <w:rPr>
          <w:rFonts w:cs="CG Times (W1);Times New Roman" w:ascii="CG Times (W1);Times New Roman" w:hAnsi="CG Times (W1);Times New Roman"/>
          <w:sz w:val="24"/>
          <w:lang w:eastAsia="ja-JP"/>
        </w:rPr>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RE:</w:t>
      </w:r>
      <w:r>
        <w:rPr>
          <w:rFonts w:cs="CG Times (W1);Times New Roman" w:ascii="CG Times (W1);Times New Roman" w:hAnsi="CG Times (W1);Times New Roman"/>
          <w:sz w:val="24"/>
        </w:rPr>
        <w:tab/>
      </w:r>
      <w:r>
        <w:rPr>
          <w:rFonts w:cs="CG Times (W1);Times New Roman" w:ascii="CG Times (W1);Times New Roman" w:hAnsi="CG Times (W1);Times New Roman"/>
          <w:sz w:val="24"/>
          <w:lang w:eastAsia="ja-JP"/>
        </w:rPr>
        <w:t>Revised CSA and ISDA Schedules</w:t>
      </w:r>
    </w:p>
    <w:p>
      <w:pPr>
        <w:pStyle w:val="TALOMemo"/>
        <w:tabs>
          <w:tab w:val="clear" w:pos="4680"/>
          <w:tab w:val="right" w:pos="9360" w:leader="none"/>
        </w:tabs>
        <w:spacing w:lineRule="auto" w:line="240"/>
        <w:rPr>
          <w:rFonts w:ascii="CG Times (W1);Times New Roman" w:hAnsi="CG Times (W1);Times New Roman" w:cs="CG Times (W1);Times New Roman"/>
          <w:sz w:val="24"/>
          <w:u w:val="thick"/>
        </w:rPr>
      </w:pPr>
      <w:r>
        <w:rPr>
          <w:rFonts w:cs="CG Times (W1);Times New Roman" w:ascii="CG Times (W1);Times New Roman" w:hAnsi="CG Times (W1);Times New Roman"/>
          <w:sz w:val="24"/>
          <w:u w:val="thick"/>
        </w:rPr>
        <w:tab/>
      </w:r>
    </w:p>
    <w:p>
      <w:pPr>
        <w:pStyle w:val="BodyText"/>
        <w:rPr>
          <w:rFonts w:ascii="CG Times (W1);Times New Roman" w:hAnsi="CG Times (W1);Times New Roman" w:cs="CG Times (W1);Times New Roman"/>
          <w:sz w:val="24"/>
          <w:u w:val="thick"/>
          <w:lang w:eastAsia="ja-JP"/>
        </w:rPr>
      </w:pPr>
      <w:r>
        <w:rPr>
          <w:rFonts w:cs="CG Times (W1);Times New Roman"/>
          <w:sz w:val="24"/>
          <w:u w:val="thick"/>
          <w:lang w:eastAsia="ja-JP"/>
        </w:rPr>
      </w:r>
    </w:p>
    <w:p>
      <w:pPr>
        <w:pStyle w:val="BodyText"/>
        <w:rPr/>
      </w:pPr>
      <w:r>
        <w:rPr/>
        <w:t>Dear Susan</w:t>
      </w:r>
      <w:r>
        <w:rPr>
          <w:lang w:eastAsia="ja-JP"/>
        </w:rPr>
        <w:t xml:space="preserve"> and Jane</w:t>
      </w:r>
      <w:r>
        <w:rPr/>
        <w:t>:</w:t>
      </w:r>
    </w:p>
    <w:p>
      <w:pPr>
        <w:pStyle w:val="Normal"/>
        <w:jc w:val="start"/>
        <w:rPr/>
      </w:pPr>
      <w:r>
        <w:rPr/>
      </w:r>
    </w:p>
    <w:p>
      <w:pPr>
        <w:pStyle w:val="BodyText"/>
        <w:rPr/>
      </w:pPr>
      <w:r>
        <w:rPr>
          <w:lang w:eastAsia="ja-JP"/>
        </w:rPr>
        <w:t>This is a response to Susan</w:t>
      </w:r>
      <w:r>
        <w:rPr>
          <w:lang w:eastAsia="ja-JP"/>
        </w:rPr>
        <w:t>’</w:t>
      </w:r>
      <w:r>
        <w:rPr>
          <w:lang w:eastAsia="ja-JP"/>
        </w:rPr>
        <w:t xml:space="preserve">s e-mail of </w:t>
      </w:r>
      <w:r>
        <w:rPr>
          <w:lang w:eastAsia="ja-JP"/>
        </w:rPr>
        <w:t>Wednesday</w:t>
      </w:r>
      <w:r>
        <w:rPr>
          <w:lang w:eastAsia="ja-JP"/>
        </w:rPr>
        <w:t xml:space="preserve"> </w:t>
      </w:r>
      <w:r>
        <w:rPr>
          <w:lang w:eastAsia="ja-JP"/>
        </w:rPr>
        <w:t>February</w:t>
      </w:r>
      <w:r>
        <w:rPr>
          <w:lang w:eastAsia="ja-JP"/>
        </w:rPr>
        <w:t xml:space="preserve"> 21, copy attached.  We have made a preliminary review of the schedules and have also had a chance to discuss with our colleague Jeremy Pitts who has been separately requested by Jane to revise the CSA schedule.  In the interest of coordinating our review with Jeremy</w:t>
      </w:r>
      <w:r>
        <w:rPr>
          <w:lang w:eastAsia="ja-JP"/>
        </w:rPr>
        <w:t>’</w:t>
      </w:r>
      <w:r>
        <w:rPr>
          <w:lang w:eastAsia="ja-JP"/>
        </w:rPr>
        <w:t>s work, we would like to raise the following questions for response by you and/or Jane, as appropriate</w:t>
      </w:r>
      <w:r>
        <w:rPr>
          <w:lang w:eastAsia="ja-JP"/>
        </w:rPr>
        <w:t>,</w:t>
      </w:r>
      <w:r>
        <w:rPr>
          <w:lang w:eastAsia="ja-JP"/>
        </w:rPr>
        <w:t xml:space="preserve"> and give the following preliminary comments on tax issues.</w:t>
      </w:r>
    </w:p>
    <w:p>
      <w:pPr>
        <w:pStyle w:val="BodyText"/>
        <w:rPr>
          <w:lang w:eastAsia="ja-JP"/>
        </w:rPr>
      </w:pPr>
      <w:r>
        <w:rPr>
          <w:lang w:eastAsia="ja-JP"/>
        </w:rPr>
      </w:r>
    </w:p>
    <w:p>
      <w:pPr>
        <w:pStyle w:val="BodyText"/>
        <w:rPr/>
      </w:pPr>
      <w:r>
        <w:rPr>
          <w:lang w:eastAsia="ja-JP"/>
        </w:rPr>
        <w:t xml:space="preserve">In the schedules, the provisions with significance for tax purposes are those dealing with the arrangements for the payment of interest (or interest equivalents) on </w:t>
      </w:r>
      <w:r>
        <w:rPr>
          <w:lang w:eastAsia="ja-JP"/>
        </w:rPr>
        <w:t>collateral</w:t>
      </w:r>
      <w:r>
        <w:rPr>
          <w:lang w:eastAsia="ja-JP"/>
        </w:rPr>
        <w:t xml:space="preserve">.  In order to determine the tax effects, could you </w:t>
      </w:r>
      <w:r>
        <w:rPr>
          <w:lang w:eastAsia="ja-JP"/>
        </w:rPr>
        <w:t>clarify</w:t>
      </w:r>
      <w:r>
        <w:rPr>
          <w:lang w:eastAsia="ja-JP"/>
        </w:rPr>
        <w:t xml:space="preserve"> what transactions are contemplated to be entered into using the schedule?  To the extent that Japanese domestic transactions, </w:t>
      </w:r>
      <w:r>
        <w:rPr>
          <w:i/>
          <w:lang w:eastAsia="ja-JP"/>
        </w:rPr>
        <w:t xml:space="preserve">e.g., </w:t>
      </w:r>
      <w:r>
        <w:rPr>
          <w:lang w:eastAsia="ja-JP"/>
        </w:rPr>
        <w:t xml:space="preserve">between Enron Japan and a Japanese financial institution, are contemplated, Enron Japan would not be require to withhold tax from interest payments to the </w:t>
      </w:r>
      <w:r>
        <w:rPr>
          <w:lang w:eastAsia="ja-JP"/>
        </w:rPr>
        <w:t xml:space="preserve">domestic </w:t>
      </w:r>
      <w:r>
        <w:rPr>
          <w:lang w:eastAsia="ja-JP"/>
        </w:rPr>
        <w:t xml:space="preserve">financial institution but </w:t>
      </w:r>
      <w:r>
        <w:rPr>
          <w:lang w:eastAsia="ja-JP"/>
        </w:rPr>
        <w:t>such</w:t>
      </w:r>
      <w:r>
        <w:rPr>
          <w:lang w:eastAsia="ja-JP"/>
        </w:rPr>
        <w:t xml:space="preserve"> financial institution</w:t>
      </w:r>
      <w:r>
        <w:rPr>
          <w:lang w:eastAsia="ja-JP"/>
        </w:rPr>
        <w:t>s</w:t>
      </w:r>
      <w:r>
        <w:rPr>
          <w:lang w:eastAsia="ja-JP"/>
        </w:rPr>
        <w:t xml:space="preserve"> would be required to withhold tax from interest paid to Enron Japan on its collateral.  Such domestic withholding tax </w:t>
      </w:r>
      <w:r>
        <w:rPr>
          <w:lang w:eastAsia="ja-JP"/>
        </w:rPr>
        <w:t>should be</w:t>
      </w:r>
      <w:r>
        <w:rPr>
          <w:lang w:eastAsia="ja-JP"/>
        </w:rPr>
        <w:t xml:space="preserve"> creditable for corporate tax purposes by Enron Japan.  If Enron Japan will enter into transactions with non-residents of Japan, it may be required to withhold tax from payments of interest on collateral placed with it in Japan, subject to any </w:t>
      </w:r>
      <w:r>
        <w:rPr>
          <w:lang w:eastAsia="ja-JP"/>
        </w:rPr>
        <w:t>exemption</w:t>
      </w:r>
      <w:r>
        <w:rPr>
          <w:lang w:eastAsia="ja-JP"/>
        </w:rPr>
        <w:t xml:space="preserve"> or reduction of such tax under an applicable tax treaty.  The tax representations at Part 2 of the ISDA schedule appear to contemplate withholding on such interest payments</w:t>
      </w:r>
      <w:r>
        <w:rPr>
          <w:lang w:eastAsia="ja-JP"/>
        </w:rPr>
        <w:t>.</w:t>
      </w:r>
    </w:p>
    <w:p>
      <w:pPr>
        <w:pStyle w:val="BodyText"/>
        <w:rPr>
          <w:lang w:eastAsia="ja-JP"/>
        </w:rPr>
      </w:pPr>
      <w:r>
        <w:rPr>
          <w:lang w:eastAsia="ja-JP"/>
        </w:rPr>
      </w:r>
    </w:p>
    <w:p>
      <w:pPr>
        <w:pStyle w:val="BodyText"/>
        <w:rPr/>
      </w:pPr>
      <w:r>
        <w:rPr>
          <w:lang w:eastAsia="ja-JP"/>
        </w:rPr>
        <w:t>Jeremy informs us that he has been instructed by Jane to modify the August 30, 2000 draft CSA schedule to provide for collateral to be tendered either in Japan, in which case the collateral arrangement would be</w:t>
      </w:r>
      <w:r>
        <w:rPr>
          <w:lang w:eastAsia="ja-JP"/>
        </w:rPr>
        <w:t xml:space="preserve"> structured to take account of Japanese law governing security interests</w:t>
      </w:r>
      <w:r>
        <w:rPr>
          <w:lang w:eastAsia="ja-JP"/>
        </w:rPr>
        <w:t>, or in the United States, in which</w:t>
      </w:r>
      <w:r>
        <w:rPr>
          <w:lang w:eastAsia="ja-JP"/>
        </w:rPr>
        <w:t xml:space="preserve"> case it</w:t>
      </w:r>
      <w:r>
        <w:rPr>
          <w:lang w:eastAsia="ja-JP"/>
        </w:rPr>
        <w:t xml:space="preserve"> </w:t>
      </w:r>
      <w:r>
        <w:rPr>
          <w:lang w:eastAsia="ja-JP"/>
        </w:rPr>
        <w:t>would be structured in light of the characteristics of US security interests</w:t>
      </w:r>
      <w:r>
        <w:rPr>
          <w:lang w:eastAsia="ja-JP"/>
        </w:rPr>
        <w:t xml:space="preserve">.  Could </w:t>
      </w:r>
      <w:r>
        <w:rPr>
          <w:lang w:eastAsia="ja-JP"/>
        </w:rPr>
        <w:t>one of you</w:t>
      </w:r>
      <w:r>
        <w:rPr>
          <w:lang w:eastAsia="ja-JP"/>
        </w:rPr>
        <w:t xml:space="preserve"> let us know whether it is actually intended and expected that Enron Japan would accept the tender of collateral in the United States for transactions it enters </w:t>
      </w:r>
      <w:r>
        <w:rPr>
          <w:lang w:eastAsia="ja-JP"/>
        </w:rPr>
        <w:t>into</w:t>
      </w:r>
      <w:r>
        <w:rPr>
          <w:lang w:eastAsia="ja-JP"/>
        </w:rPr>
        <w:t xml:space="preserve"> in Japan?  We would suspect that such an arrangement might be unlikely in practice and, in light of our discussions with Jeremy, would suggest that provisions governing US </w:t>
      </w:r>
      <w:r>
        <w:rPr>
          <w:i/>
          <w:lang w:eastAsia="ja-JP"/>
        </w:rPr>
        <w:t>situs</w:t>
      </w:r>
      <w:r>
        <w:rPr>
          <w:lang w:eastAsia="ja-JP"/>
        </w:rPr>
        <w:t xml:space="preserve"> collateral not be included unless there is a real need for such provisions as this would make both the drafting exercise which Jeremy must carry out and our tax analysis much more complicated.  Please give us your </w:t>
      </w:r>
      <w:r>
        <w:rPr>
          <w:lang w:eastAsia="ja-JP"/>
        </w:rPr>
        <w:t>instructions</w:t>
      </w:r>
      <w:r>
        <w:rPr>
          <w:lang w:eastAsia="ja-JP"/>
        </w:rPr>
        <w:t xml:space="preserve"> on this point and we will supplement the tax comments as needed.</w:t>
      </w:r>
    </w:p>
    <w:p>
      <w:pPr>
        <w:pStyle w:val="BodyText"/>
        <w:rPr>
          <w:lang w:eastAsia="ja-JP"/>
        </w:rPr>
      </w:pPr>
      <w:r>
        <w:rPr>
          <w:lang w:eastAsia="ja-JP"/>
        </w:rPr>
      </w:r>
    </w:p>
    <w:p>
      <w:pPr>
        <w:pStyle w:val="BodyText"/>
        <w:rPr/>
      </w:pPr>
      <w:r>
        <w:rPr>
          <w:lang w:eastAsia="ja-JP"/>
        </w:rPr>
        <w:t>Otherwise, the comments in our May 11, 2000 memorandum remain</w:t>
      </w:r>
      <w:r>
        <w:rPr>
          <w:lang w:eastAsia="ja-JP"/>
        </w:rPr>
        <w:t xml:space="preserve"> generally</w:t>
      </w:r>
      <w:r>
        <w:rPr>
          <w:lang w:eastAsia="ja-JP"/>
        </w:rPr>
        <w:t xml:space="preserve"> valid.  As stated therein, on request, we would be happy to review and comment on specific contemplated transactions.</w:t>
      </w:r>
    </w:p>
    <w:p>
      <w:pPr>
        <w:pStyle w:val="BodyText"/>
        <w:rPr>
          <w:lang w:eastAsia="ja-JP"/>
        </w:rPr>
      </w:pPr>
      <w:r>
        <w:rPr>
          <w:lang w:eastAsia="ja-JP"/>
        </w:rPr>
      </w:r>
    </w:p>
    <w:p>
      <w:pPr>
        <w:pStyle w:val="BodyText"/>
        <w:rPr>
          <w:lang w:eastAsia="ja-JP"/>
        </w:rPr>
      </w:pPr>
      <w:r>
        <w:rPr>
          <w:lang w:eastAsia="ja-JP"/>
        </w:rPr>
        <w:t>Best regards.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134" w:top="1418" w:footer="567"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Univers">
    <w:charset w:val="00" w:characterSet="windows-1252"/>
    <w:family w:val="swiss"/>
    <w:pitch w:val="variable"/>
  </w:font>
  <w:font w:name="CG Times">
    <w:charset w:val="00" w:characterSet="windows-1252"/>
    <w:family w:val="roman"/>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/mnt/main-storage/datasets/enron-docs/doc/Enron_sm10.doc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/mnt/main-storage/datasets/enron-docs/doc/Enron_sm10.doc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start"/>
        <w:rPr/>
      </w:pPr>
      <w:r>
        <w:rPr>
          <w:rStyle w:val="FootnoteCharacters"/>
        </w:rPr>
        <w:t></w:t>
      </w:r>
      <w:r>
        <w:rPr>
          <w:rFonts w:eastAsia="CG Times (W1);Times New Roman"/>
        </w:rPr>
        <w:t xml:space="preserve">  </w:t>
      </w:r>
      <w:r>
        <w:rPr/>
        <w:t>Registered in Japan as an Attorney at Foreign Law, Jurisdiction of Primary Qualification:  California;  Designated Laws:  Washington, D.C. and All U.S. States Except Louisiana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lang w:eastAsia="ja-JP"/>
      </w:rPr>
    </w:pPr>
    <w:r>
      <w:rPr>
        <w:rFonts w:cs="Times New Roman" w:ascii="Times New Roman" w:hAnsi="Times New Roman"/>
        <w:lang w:eastAsia="ja-JP"/>
      </w:rPr>
      <w:t>February 23, 2001</w:t>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p>
    <w:pPr>
      <w:pStyle w:val="Header"/>
      <w:rPr>
        <w:rFonts w:ascii="Times New Roman" w:hAnsi="Times New Roman" w:cs="Times New Roman"/>
        <w:lang w:eastAsia="ja-JP"/>
      </w:rPr>
    </w:pPr>
    <w:r>
      <w:rPr>
        <w:rFonts w:cs="Times New Roman" w:ascii="Times New Roman" w:hAnsi="Times New Roman"/>
        <w:lang w:eastAsia="ja-JP"/>
      </w:rPr>
    </w:r>
  </w:p>
  <w:p>
    <w:pPr>
      <w:pStyle w:val="Header"/>
      <w:rPr>
        <w:rFonts w:ascii="Times New Roman" w:hAnsi="Times New Roman" w:cs="Times New Roman"/>
        <w:lang w:eastAsia="ja-JP"/>
      </w:rPr>
    </w:pPr>
    <w:r>
      <w:rPr>
        <w:rFonts w:cs="Times New Roman" w:ascii="Times New Roman" w:hAnsi="Times New Roman"/>
        <w:lang w:eastAsia="ja-JP"/>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firstLine="900" w:start="-180" w:end="14"/>
      <w:outlineLvl w:val="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Times New Roman" w:hAnsi="CG Times (W1);Times New Roman" w:eastAsia="ＭＳ 明朝" w:cs="CG Times (W1);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WW8Num10z0">
    <w:name w:val="WW8Num10z0"/>
    <w:qFormat/>
    <w:rPr>
      <w:b/>
    </w:rPr>
  </w:style>
  <w:style w:type="character" w:styleId="WW8Num11z0">
    <w:name w:val="WW8Num11z0"/>
    <w:qFormat/>
    <w:rPr/>
  </w:style>
  <w:style w:type="character" w:styleId="WW8Num12z0">
    <w:name w:val="WW8Num12z0"/>
    <w:qFormat/>
    <w:rPr>
      <w:b/>
    </w:rPr>
  </w:style>
  <w:style w:type="character" w:styleId="WW8Num13z0">
    <w:name w:val="WW8Num13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LOMemo">
    <w:name w:val="TALO Memo"/>
    <w:qFormat/>
    <w:pPr>
      <w:widowControl/>
      <w:tabs>
        <w:tab w:val="clear" w:pos="720"/>
        <w:tab w:val="center" w:pos="4680" w:leader="none"/>
      </w:tabs>
      <w:suppressAutoHyphens w:val="true"/>
      <w:bidi w:val="0"/>
      <w:spacing w:lineRule="auto" w:line="300"/>
    </w:pPr>
    <w:rPr>
      <w:rFonts w:ascii="Univers" w:hAnsi="Univers" w:eastAsia="ＭＳ 明朝" w:cs="Univers"/>
      <w:color w:val="auto"/>
      <w:sz w:val="19"/>
      <w:szCs w:val="20"/>
      <w:lang w:val="en-US" w:eastAsia="zh-CN" w:bidi="hi-IN"/>
    </w:rPr>
  </w:style>
  <w:style w:type="paragraph" w:styleId="BodyText2">
    <w:name w:val="Body Text 2"/>
    <w:basedOn w:val="Normal"/>
    <w:qFormat/>
    <w:pPr>
      <w:jc w:val="start"/>
    </w:pPr>
    <w:rPr>
      <w:i/>
    </w:rPr>
  </w:style>
  <w:style w:type="paragraph" w:styleId="BlockText">
    <w:name w:val="Block Text"/>
    <w:basedOn w:val="Normal"/>
    <w:qFormat/>
    <w:pPr>
      <w:ind w:hanging="0" w:start="1440" w:end="1021"/>
    </w:pPr>
    <w:rPr>
      <w:rFonts w:ascii="Arial" w:hAnsi="Arial" w:cs="Arial"/>
      <w:sz w:val="20"/>
    </w:rPr>
  </w:style>
  <w:style w:type="paragraph" w:styleId="BodyText3">
    <w:name w:val="Body Text 3"/>
    <w:basedOn w:val="Normal"/>
    <w:qFormat/>
    <w:pPr/>
    <w:rPr>
      <w:color w:val="000000"/>
      <w:lang w:eastAsia="en-US"/>
    </w:rPr>
  </w:style>
  <w:style w:type="paragraph" w:styleId="BodyTextIndent">
    <w:name w:val="Body Text Indent"/>
    <w:basedOn w:val="Normal"/>
    <w:pPr>
      <w:ind w:hanging="0" w:start="1440" w:end="0"/>
      <w:jc w:val="start"/>
    </w:pPr>
    <w:rPr>
      <w:lang w:eastAsia="ja-JP"/>
    </w:rPr>
  </w:style>
  <w:style w:type="paragraph" w:styleId="BodyTextIndent2">
    <w:name w:val="Body Text Indent 2"/>
    <w:basedOn w:val="Normal"/>
    <w:qFormat/>
    <w:pPr>
      <w:ind w:hanging="0" w:start="720" w:end="0"/>
      <w:jc w:val="start"/>
    </w:pPr>
    <w:rPr>
      <w:lang w:eastAsia="ja-JP"/>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Memorandum (US Letter).dot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2001-02-23T04:41:00Z</dcterms:created>
  <dc:creator>TALO - B&amp;M User</dc:creator>
  <dc:description/>
  <dc:language>en-CA</dc:language>
  <cp:lastModifiedBy>TALO - B&amp;M User</cp:lastModifiedBy>
  <cp:lastPrinted>2001-02-23T17:00:00Z</cp:lastPrinted>
  <dcterms:modified xsi:type="dcterms:W3CDTF">2001-02-23T06:41:00Z</dcterms:modified>
  <cp:revision>7</cp:revision>
  <dc:subject/>
  <dc:title>English Fax</dc:title>
</cp:coreProperties>
</file>