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2"/>
          <w:u w:val="single"/>
        </w:rPr>
      </w:pPr>
      <w:r>
        <w:rPr>
          <w:color w:val="000000"/>
          <w:sz w:val="22"/>
          <w:u w:val="single"/>
        </w:rPr>
        <w:t>Project Description</w:t>
      </w:r>
    </w:p>
    <w:p>
      <w:pPr>
        <w:pStyle w:val="Normal"/>
        <w:autoSpaceDE w:val="false"/>
        <w:spacing w:lineRule="atLeast" w:line="240"/>
        <w:rPr>
          <w:color w:val="000000"/>
          <w:sz w:val="22"/>
          <w:u w:val="single"/>
        </w:rPr>
      </w:pPr>
      <w:r>
        <w:rPr>
          <w:color w:val="000000"/>
          <w:sz w:val="22"/>
          <w:u w:val="single"/>
        </w:rPr>
      </w:r>
    </w:p>
    <w:p>
      <w:pPr>
        <w:pStyle w:val="Normal"/>
        <w:autoSpaceDE w:val="false"/>
        <w:spacing w:lineRule="atLeast" w:line="240"/>
        <w:rPr>
          <w:color w:val="000000"/>
          <w:sz w:val="22"/>
        </w:rPr>
      </w:pPr>
      <w:r>
        <w:rPr>
          <w:color w:val="000000"/>
          <w:sz w:val="22"/>
        </w:rPr>
        <w:t>Project will consist of 26 Megawatts of electric generation located at one or more sites in Connecticut owned or controlled by CRRA.  All fuel cell modules will be purchased from FuelCell Energy, Inc. of Danbury and will be manufactured in their new Torrington facility.  The units will be manufactured and brought on-line across a five-year period.</w:t>
      </w:r>
    </w:p>
    <w:p>
      <w:pPr>
        <w:pStyle w:val="Normal"/>
        <w:autoSpaceDE w:val="false"/>
        <w:spacing w:lineRule="atLeast" w:line="240"/>
        <w:rPr>
          <w:color w:val="000000"/>
          <w:sz w:val="22"/>
        </w:rPr>
      </w:pPr>
      <w:r>
        <w:rPr>
          <w:color w:val="000000"/>
          <w:sz w:val="22"/>
        </w:rPr>
      </w:r>
    </w:p>
    <w:p>
      <w:pPr>
        <w:pStyle w:val="Normal"/>
        <w:keepNext w:val="true"/>
        <w:autoSpaceDE w:val="false"/>
        <w:spacing w:lineRule="atLeast" w:line="240"/>
        <w:rPr>
          <w:color w:val="000000"/>
          <w:sz w:val="22"/>
          <w:u w:val="single"/>
        </w:rPr>
      </w:pPr>
      <w:r>
        <w:rPr>
          <w:color w:val="000000"/>
          <w:sz w:val="22"/>
          <w:u w:val="single"/>
        </w:rPr>
        <w:t>Project Ownership and Financing</w:t>
      </w:r>
    </w:p>
    <w:p>
      <w:pPr>
        <w:pStyle w:val="Normal"/>
        <w:autoSpaceDE w:val="false"/>
        <w:spacing w:lineRule="atLeast" w:line="240"/>
        <w:rPr>
          <w:color w:val="000000"/>
          <w:sz w:val="22"/>
          <w:u w:val="single"/>
        </w:rPr>
      </w:pPr>
      <w:r>
        <w:rPr>
          <w:color w:val="000000"/>
          <w:sz w:val="22"/>
          <w:u w:val="single"/>
        </w:rPr>
      </w:r>
    </w:p>
    <w:p>
      <w:pPr>
        <w:pStyle w:val="Normal"/>
        <w:autoSpaceDE w:val="false"/>
        <w:spacing w:lineRule="atLeast" w:line="240"/>
        <w:rPr/>
      </w:pPr>
      <w:r>
        <w:rPr>
          <w:color w:val="000000"/>
          <w:sz w:val="22"/>
        </w:rPr>
        <w:t xml:space="preserve">Connecticut Resource Recovery Authority (CRRA), a quasi-governmental organization, will own and operate the project.  CRRA is asking for a commitment of $124 million to pay for the initial project costs and to fund a maintenance reserve.  The capital cost will be paid for using State funds from the Conservation and Load Management Fund, </w:t>
      </w:r>
      <w:r>
        <w:rPr>
          <w:color w:val="000000"/>
        </w:rPr>
        <w:t>w</w:t>
      </w:r>
      <w:r>
        <w:rPr>
          <w:color w:val="000000"/>
          <w:sz w:val="22"/>
        </w:rPr>
        <w:t>hich collects approximately $90 million per year from Connecticut electric consumers.  The project will require approximately $25 million per year from the Fund, leaving over $60 million per year for traditional conservation programs.  To the extent partial alternative funding is available from other sources, such as the smaller Clean Energy Investment Fund or possible federal funding, the allocation from the Conservation and Load Management Fund will be reduced accordingly.</w:t>
      </w:r>
    </w:p>
    <w:p>
      <w:pPr>
        <w:pStyle w:val="Normal"/>
        <w:autoSpaceDE w:val="false"/>
        <w:spacing w:lineRule="atLeast" w:line="240"/>
        <w:rPr>
          <w:color w:val="000000"/>
          <w:sz w:val="22"/>
        </w:rPr>
      </w:pPr>
      <w:r>
        <w:rPr>
          <w:color w:val="000000"/>
          <w:sz w:val="22"/>
        </w:rPr>
      </w:r>
    </w:p>
    <w:p>
      <w:pPr>
        <w:pStyle w:val="Normal"/>
        <w:keepNext w:val="true"/>
        <w:autoSpaceDE w:val="false"/>
        <w:spacing w:lineRule="atLeast" w:line="240"/>
        <w:rPr>
          <w:color w:val="000000"/>
          <w:sz w:val="22"/>
          <w:u w:val="single"/>
        </w:rPr>
      </w:pPr>
      <w:r>
        <w:rPr>
          <w:color w:val="000000"/>
          <w:sz w:val="22"/>
          <w:u w:val="single"/>
        </w:rPr>
        <w:t>Enron’s Commitment to the Fuel Cell Project</w:t>
      </w:r>
    </w:p>
    <w:p>
      <w:pPr>
        <w:pStyle w:val="Normal"/>
        <w:autoSpaceDE w:val="false"/>
        <w:spacing w:lineRule="atLeast" w:line="240"/>
        <w:rPr>
          <w:color w:val="000000"/>
          <w:sz w:val="22"/>
          <w:u w:val="single"/>
        </w:rPr>
      </w:pPr>
      <w:r>
        <w:rPr>
          <w:color w:val="000000"/>
          <w:sz w:val="22"/>
          <w:u w:val="single"/>
        </w:rPr>
      </w:r>
    </w:p>
    <w:p>
      <w:pPr>
        <w:pStyle w:val="Heading1"/>
        <w:ind w:hanging="0" w:start="0"/>
        <w:rPr>
          <w:sz w:val="22"/>
        </w:rPr>
      </w:pPr>
      <w:r>
        <w:rPr>
          <w:sz w:val="22"/>
        </w:rPr>
        <w:t>Project Development</w:t>
      </w:r>
    </w:p>
    <w:p>
      <w:pPr>
        <w:pStyle w:val="Normal"/>
        <w:autoSpaceDE w:val="false"/>
        <w:spacing w:lineRule="atLeast" w:line="240"/>
        <w:rPr>
          <w:color w:val="000000"/>
          <w:sz w:val="22"/>
        </w:rPr>
      </w:pPr>
      <w:r>
        <w:rPr>
          <w:color w:val="000000"/>
          <w:sz w:val="22"/>
        </w:rPr>
        <w:t xml:space="preserve">Enron is the project developer of the fuel cell farms.  Enron is responsible for negotiating the necessary agreements, overseeing the entire development, siting, permitting and construction process and will give the State a financial guarantee for the project.  </w:t>
      </w:r>
    </w:p>
    <w:p>
      <w:pPr>
        <w:pStyle w:val="Normal"/>
        <w:autoSpaceDE w:val="false"/>
        <w:spacing w:lineRule="atLeast" w:line="240"/>
        <w:rPr>
          <w:color w:val="000000"/>
          <w:sz w:val="22"/>
        </w:rPr>
      </w:pPr>
      <w:r>
        <w:rPr>
          <w:color w:val="000000"/>
          <w:sz w:val="22"/>
        </w:rPr>
      </w:r>
    </w:p>
    <w:p>
      <w:pPr>
        <w:pStyle w:val="Heading1"/>
        <w:ind w:hanging="0" w:start="0"/>
        <w:rPr>
          <w:sz w:val="22"/>
        </w:rPr>
      </w:pPr>
      <w:r>
        <w:rPr>
          <w:sz w:val="22"/>
        </w:rPr>
        <w:t>Financial Guarantee</w:t>
      </w:r>
    </w:p>
    <w:p>
      <w:pPr>
        <w:pStyle w:val="BodyText"/>
        <w:rPr/>
      </w:pPr>
      <w:r>
        <w:rPr/>
        <w:t>The State will not take on the technology risk or financial viability risk of FuelCell Energy.  If the individual fuel cell installations do not pass a pre-determined acceptance test, Enron, not FuelCell Energy, will refund to the Connecticut Conservation and Load Management Fund the cost of that fuel cell module.  Enron protects the State financially from both the risk of a failed project and the risk of FuelCell Energy going out of business as a result.</w:t>
      </w:r>
    </w:p>
    <w:p>
      <w:pPr>
        <w:pStyle w:val="Normal"/>
        <w:autoSpaceDE w:val="false"/>
        <w:spacing w:lineRule="atLeast" w:line="240"/>
        <w:rPr>
          <w:color w:val="000000"/>
          <w:sz w:val="22"/>
        </w:rPr>
      </w:pPr>
      <w:r>
        <w:rPr>
          <w:color w:val="000000"/>
          <w:sz w:val="22"/>
        </w:rPr>
      </w:r>
    </w:p>
    <w:p>
      <w:pPr>
        <w:pStyle w:val="Heading1"/>
        <w:ind w:hanging="0" w:start="0"/>
        <w:rPr>
          <w:sz w:val="22"/>
        </w:rPr>
      </w:pPr>
      <w:r>
        <w:rPr>
          <w:sz w:val="22"/>
        </w:rPr>
        <w:t>Warranty</w:t>
      </w:r>
    </w:p>
    <w:p>
      <w:pPr>
        <w:pStyle w:val="Normal"/>
        <w:autoSpaceDE w:val="false"/>
        <w:spacing w:lineRule="atLeast" w:line="240"/>
        <w:rPr>
          <w:color w:val="000000"/>
          <w:sz w:val="22"/>
        </w:rPr>
      </w:pPr>
      <w:r>
        <w:rPr>
          <w:color w:val="000000"/>
          <w:sz w:val="22"/>
        </w:rPr>
        <w:t>Enron is negotiating with FuelCell Energy for an extended warranty to protect the ratepayers of Connecticut from paying for a fuel cell project that fails after passing the acceptance test.  FuelCell Energy will give a one-year, all-inclusive materials and labor warranty for each fuel cell installation.  After the first year, FuelCell Energy has agreed to give to the State a “battery warranty” whereby if the fuel cell fails after the first year, the cost to repair or replace will be borne by both FuelCell Energy and CRRA.  Enron has a contractually guaranteed, “not-to-exceed” price for the cost of the first stack replacement and this cost is included in the funds requested from the Conservation and Load Management Fund.</w:t>
      </w:r>
    </w:p>
    <w:p>
      <w:pPr>
        <w:pStyle w:val="Normal"/>
        <w:autoSpaceDE w:val="false"/>
        <w:spacing w:lineRule="atLeast" w:line="240"/>
        <w:rPr>
          <w:color w:val="000000"/>
          <w:sz w:val="22"/>
        </w:rPr>
      </w:pPr>
      <w:r>
        <w:rPr>
          <w:color w:val="000000"/>
          <w:sz w:val="22"/>
        </w:rPr>
      </w:r>
    </w:p>
    <w:p>
      <w:pPr>
        <w:pStyle w:val="Heading1"/>
        <w:ind w:hanging="0" w:start="0"/>
        <w:rPr>
          <w:sz w:val="22"/>
        </w:rPr>
      </w:pPr>
      <w:r>
        <w:rPr>
          <w:sz w:val="22"/>
        </w:rPr>
        <w:t>Opening of Retail Markets</w:t>
      </w:r>
    </w:p>
    <w:p>
      <w:pPr>
        <w:pStyle w:val="Normal"/>
        <w:autoSpaceDE w:val="false"/>
        <w:spacing w:lineRule="atLeast" w:line="240"/>
        <w:rPr>
          <w:color w:val="000000"/>
          <w:sz w:val="22"/>
        </w:rPr>
      </w:pPr>
      <w:r>
        <w:rPr>
          <w:color w:val="000000"/>
          <w:sz w:val="22"/>
        </w:rPr>
        <w:t>Opening retail electric markets across the country is a major corporate goal of Enron.  Achieving a successful fuel cell project will further this goal</w:t>
      </w:r>
    </w:p>
    <w:p>
      <w:pPr>
        <w:pStyle w:val="Normal"/>
        <w:autoSpaceDE w:val="false"/>
        <w:spacing w:lineRule="atLeast" w:line="240"/>
        <w:rPr>
          <w:color w:val="000000"/>
          <w:sz w:val="22"/>
        </w:rPr>
      </w:pPr>
      <w:r>
        <w:rPr>
          <w:color w:val="000000"/>
          <w:sz w:val="22"/>
        </w:rPr>
      </w:r>
    </w:p>
    <w:p>
      <w:pPr>
        <w:pStyle w:val="Heading1"/>
        <w:ind w:hanging="0" w:start="0"/>
        <w:rPr>
          <w:sz w:val="22"/>
        </w:rPr>
      </w:pPr>
      <w:r>
        <w:rPr>
          <w:sz w:val="22"/>
        </w:rPr>
        <w:t>Equity Investment</w:t>
      </w:r>
    </w:p>
    <w:p>
      <w:pPr>
        <w:pStyle w:val="Normal"/>
        <w:autoSpaceDE w:val="false"/>
        <w:spacing w:lineRule="atLeast" w:line="240"/>
        <w:rPr>
          <w:color w:val="000000"/>
          <w:sz w:val="22"/>
        </w:rPr>
      </w:pPr>
      <w:r>
        <w:rPr>
          <w:color w:val="000000"/>
          <w:sz w:val="22"/>
        </w:rPr>
        <w:t>Enron has a $5 million equity investment in FuelCell Energy.  If this project is not successful, Enron stands to lose through the depressed stock price.  Enron also has warrants to purchase additional shares of FuelCell Energy stock.  Enron is motivated to ensure that this project is successful and to prove that this technology works on a long-term, standalone basis.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i/>
      <w:iCs/>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2001-07-24T16:24:00Z</dcterms:created>
  <dc:creator>Heather Kroll</dc:creator>
  <dc:description/>
  <dc:language>en-CA</dc:language>
  <cp:lastModifiedBy>Heather Kroll</cp:lastModifiedBy>
  <dcterms:modified xsi:type="dcterms:W3CDTF">2001-09-05T20:53:00Z</dcterms:modified>
  <cp:revision>3</cp:revision>
  <dc:subject/>
  <dc:title>Project Description</dc:title>
</cp:coreProperties>
</file>